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MOTORISTA</w:t>
      </w:r>
    </w:p>
    <w:p>
      <w:r>
        <w:rPr>
          <w:i/>
          <w:iCs/>
          <w:color w:val="666666"/>
        </w:rPr>
        <w:t xml:space="preserve">HORAS EXTRAS</w:t>
      </w:r>
    </w:p>
    <w:p/>
    <w:p>
      <w:r>
        <w:rPr>
          <w:b/>
          <w:bCs/>
        </w:rPr>
        <w:t xml:space="preserve">Tribunal: </w:t>
      </w:r>
      <w:r>
        <w:t xml:space="preserve">TRT15</w:t>
      </w:r>
    </w:p>
    <w:p/>
    <w:p>
      <w:r>
        <w:t xml:space="preserve">Processo CNJ 00114287420225150095. Classe: Recurso Ordinário Trabalhista. Assunto: Horas Extras..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ordinário trabalhista que debate cobrança de horas extras. O tribunal reconheceu a existência de jornada excedente e condenou o empregador ao pagamento das horas laboradas além do limite legal, com reflexos nas demais verbas rescisórias. Mantida a condenação da sentença de primeira instância.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CNJ 00114287420225150095. Classe: Recurso Ordinário Trabalhista. Assunto: Horas Extras.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2026-06-05T08:38:41.561Z</dcterms:created>
  <dcterms:modified xsi:type="dcterms:W3CDTF">2026-06-05T08:38:41.561Z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