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HORAS EXTRAORDINÁRIAS</w:t>
      </w:r>
    </w:p>
    <w:p>
      <w:r>
        <w:rPr>
          <w:i/>
          <w:iCs/>
          <w:color w:val="666666"/>
        </w:rPr>
        <w:t xml:space="preserve">ADICIONAL DE PERICULOSIDADE</w:t>
      </w:r>
    </w:p>
    <w:p/>
    <w:p>
      <w:r>
        <w:rPr>
          <w:b/>
          <w:bCs/>
        </w:rPr>
        <w:t xml:space="preserve">Tribunal: </w:t>
      </w:r>
      <w:r>
        <w:t xml:space="preserve">TRT15</w:t>
      </w:r>
    </w:p>
    <w:p/>
    <w:p>
      <w:r>
        <w:t xml:space="preserve">Processo CNJ 00114335920165150143. Classe: Recurso Ordinário Trabalhista. Assunto: Adicional de Periculosidade..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Ordinário em matéria trabalhista sobre adicional de periculosidade. O tribunal manteve a condenação da empresa ao pagamento do adicional, reconhecendo a exposição do trabalhador a agentes perigosos e a adequação do percentual fixado. Negado provimento ao recurso.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CNJ 00114335920165150143. Classe: Recurso Ordinário Trabalhista. Assunto: Adicional de Periculosidade.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2026-06-05T09:02:36.629Z</dcterms:created>
  <dcterms:modified xsi:type="dcterms:W3CDTF">2026-06-05T09:02:36.629Z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