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/>
    <w:p>
      <w:r>
        <w:t xml:space="preserve">INDENIZAÇÃO — DIREITO À MESMA - QUANDO SE RECONHECE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Por não ter sido contestada, presume-se verdadeira a afirmação de acordo com a qual, com a construção da casa em questão, a apelada dispendeu Cr$ 4.000.000,00 cifra, aliás, bem inferior à que foi estimada, para o mesmo fim, pela testemunha (5 a 6.000.000,00) não se podendo opor, àquele montante, a documentação e seguintes que, obviamente corresponde a, apenas, parte do total efetivamente expendido pela apelada, para construir a moradia. - Pelas razões aduzidas, a Câmara nega provimento ao recurso que se interpôs com a finalidade de desconstituir sentença que nenhuma censura está a merecer. Ac. de 16-03-1988 Arquivo do EMFOR - TA/1.091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Aquele que edifica em terreno alheio perde, em proveito do proprietário, a construção, mas tem direito à indenização, se não procedeu de má-fé.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2026-07-27T23:34:45.647Z</dcterms:created>
  <dcterms:modified xsi:type="dcterms:W3CDTF">2026-07-27T23:34:45.647Z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