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LOCAÇÃO</w:t>
      </w:r>
    </w:p>
    <w:p/>
    <w:p>
      <w:r>
        <w:rPr>
          <w:b/>
          <w:bCs/>
        </w:rPr>
        <w:t xml:space="preserve">Recurso: </w:t>
      </w:r>
      <w:r>
        <w:t xml:space="preserve">RE 44.760</w:t>
      </w:r>
    </w:p>
    <w:p/>
    <w:p>
      <w:r>
        <w:t xml:space="preserve">QUANDO ESTE POR ELAS NÃO RESPONDE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Salvo estipulação contratual averbada no registro imobiliário, não responde o adquirente pelas benfeitorias do locatário. Referência: - Cód. Civil, artigos 516 e 1.199; - Decreto nº 24.150, de 20.04.34, artigo 19 e parágrafo 1º. RE 44.760, de 03.10.61; RE 45.471, de 26.06.61; AG 28.764, de 16.04.63 (D. de Just. de 11.07.63, p. 513). Aprovada em Sessão de 13-12-1963 - pág. 86 EMENTÁRIO FORENSE. Dezembro, 1964. Ano XVI. Nº 193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2026-10-26T02:11:29.837Z</dcterms:created>
  <dcterms:modified xsi:type="dcterms:W3CDTF">2026-10-26T02:11:29.837Z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