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BANCO CENTRAL</w:t>
      </w:r>
    </w:p>
    <w:p>
      <w:r>
        <w:rPr>
          <w:i/>
          <w:iCs/>
          <w:color w:val="666666"/>
        </w:rPr>
        <w:t xml:space="preserve">DECRETO-LEI 2.406 DE 05-01-1988</w:t>
      </w:r>
    </w:p>
    <w:p/>
    <w:p/>
    <w:p>
      <w:r>
        <w:t xml:space="preserve">02. DECRETO-LEI 2.406 DE 05-01-1988, LEIS NºS 8.004/90, 8.100/90 E 8.692/90 — ALTERA</w:t>
      </w:r>
    </w:p>
    <w:p/>
    <w:p>
      <w:pPr>
        <w:pStyle w:val="Heading2"/>
      </w:pPr>
      <w:r>
        <w:rPr>
          <w:b/>
          <w:bCs/>
        </w:rPr>
        <w:t xml:space="preserve">Ementa</w:t>
      </w:r>
    </w:p>
    <w:p>
      <w:r>
        <w:t xml:space="preserve">Art. 19. O parágrafo único do art. 1o e os arts. 2o, 3o e 5o da Lei no 8.004, de 1990, passam a vigorar com a seguinte redação: "Art.1o............................................................................................." Parágrafo único. A formalização de venda, promessa de venda, cessão ou promessa de cessão relativas a imóvel financiado através do SFH dar-se-á em ato concomitante à transferência do financiamento respectivo, com a interveniência obrigatória da instituição financiadora." (NR) "Art. 2o Nos contratos que tenham cláusula de cobertura de eventual saldo devedor residual pelo FCVS, a transferência dar-se-á mediante simples substituição do devedor, mantidas para o novo mutuário as mesmas condições e obrigações do contrato original, desde que se trate de financiamento destinado à casa própria, observando-se os requisitos legais e regulamentares, inclusive quanto à demonstração da capacidade de pagamento do cessionário em relação ao valor do novo encargo mensal. § 1o Além do disposto no caput, o valor do encargo mensal para o novo mutuário será atualizado pro rata die, a contar da data do último reajustamento desse encargo até a data da formalização da transferência, com base no índice de atualização das contas de poupança mantidas no Sistema Brasileiro de Poupança e Empréstimo - SBPE, e acrescido da quinta parte do valor atualizado do encargo, observando que: a) o acréscimo da quinta parte do valor do encargo atualizado será integralmente direcionado à elevação da parcela correspondente à prestação de amortização e juros e, quando devida, da contribuição mensal ao FCVS; b) nos contratos enquadrados no Plano de Equivalência Salarial, instituído pelo Decreto-Lei no 2.164, de 19 de setembro de 1984, o enquadramento na categoria profissional do novo mutuário dar-se-á a partir da data da transferência; c) na aplicação do primeiro reajuste do encargo mensal, após a transferência, nos contratos não enquadrados na alínea anterior , será compensada a atualização pro rata die de que trata o caput deste inciso. § 2o Nas transferências dos contratos de financiamento da casa própria que não tenham cobertura de eventual saldo devedor residual pelo FCVS, e daqueles não enquadrados na Lei no 8.692, de 1993, aplicam-se as condições previstas no caput e no parágrafo anterior. § 3o Nas transferências de que trata o caput deste artigo, as instituições financiadoras ficam dispensadas da observância das seguintes exigências: a) limite máximo de financiamento, desde que não haja desembolso adicional de recursos; b) limite máximo de preço de venda ou de avaliação do imóvel objeto da transferência; c) localização do imóvel no domicílio do comprador." (NR) "Art. 3o A critério da instituição financiadora, as transferências poderão ser efetuadas mediante assunção, pelo novo mutuário, do saldo devedor contábil da operação, atualizado pro rata die da data do último reajuste até a data da transferência, observados os percentuais de pagamento previstos no caput e nos incisos I, II e III do art. 5o desta Lei e os requisitos legais e regulamentares da casa própria, vigentes para novas contratações, inclusive quanto à demonstração da capacidade de pagamento do cessionário em relação ao valor do novo encargo mensal." (NR) "Art. 5o O mutuário do SFH que tenha firmado contrato até 31 de março de 1990 com cláusula de cobertura de eventuais saldos devedores residuais pelo FCVS poderá, no prazo máximo de um ano, liquidar antecipadamente sua dívida, mediante pagamento de valor correspondente a: I - contratos firmados até 28 de fevereiro de 1986: cinqüenta por cento do saldo devedor contábil da operação, atualizado pro rata die da data do último reajuste até a data da liquidação; II - contratos firmados de 1o de março de 1986 até 31 de dezembro de 1988: sessenta por cento do saldo devedor contábil da operação, atualizado pro rata die da data do último reajuste até a data da liquidação; III - contratos firmados de 1o de janeiro de 1989 até 31 de março de 1990: setenta por cento do saldo devedor contábil da operação, atualizado pro rata die da data do último reajuste até a data da liquidação. § 1o A critério do mutuário, a liquidação antecipada dos saldos devedores dos contratos firmados até 28 de fevereiro de 1986, que tenham cláusula de cobertura de eventuais saldos devedores residuais pelo FCVS, poderá ser efetivada, alternativamente, mediante o pagamento do montante equivalente ao valor total das mensalidades vincendas, que será integralme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2026-06-17T15:23:18.239Z</dcterms:created>
  <dcterms:modified xsi:type="dcterms:W3CDTF">2026-06-17T15:23:18.239Z</dcterms:modified>
</cp:coreProperties>
</file>

<file path=docProps/custom.xml><?xml version="1.0" encoding="utf-8"?>
<Properties xmlns="http://schemas.openxmlformats.org/officeDocument/2006/custom-properties" xmlns:vt="http://schemas.openxmlformats.org/officeDocument/2006/docPropsVTypes"/>
</file>