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DECRETO LEGISLATIVO MUNICIPAL</w:t>
      </w:r>
    </w:p>
    <w:p/>
    <w:p>
      <w:r>
        <w:rPr>
          <w:b/>
          <w:bCs/>
        </w:rPr>
        <w:t xml:space="preserve">Recurso: </w:t>
      </w:r>
      <w:r>
        <w:t xml:space="preserve">REsp 2.653-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31/03/1998</w:t>
      </w:r>
    </w:p>
    <w:p/>
    <w:p>
      <w:r>
        <w:t xml:space="preserve">DIREITO RECONHECIDO AO TERCEIRO DE BOA-FÉ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a penhora em questão foi formalizada em 06-04-92 (fls.), enquanto a alienação do uso desse telefone já havia ocorrido em 02-12-91, para Marcia N., que a transferiu em 22-12-94, para o ora embargado. - Como visto, por falha do cartório, aliada à omissão do exequente, de promover a anotação da penhora na Telerj, levou a adquirente da linha a transpassá-la para o embargado, que nitidamente, é um adquirente de boa-fé, pois não tinha a mínima condição de saber da penhora do telefone. - A situação, nessa hipótese, é similar à venda do bem imóvel constritado, cuja penhora não foi registrada no RGI. - A única diferença, hoje, é que o registro da penhora de bem imóvel tornou-se exigência legal (art. 659, § 4º, CPC), enquanto a anotação da penhora do telefone, na empresa de telefonia, ainda não figura na lei. - Entretanto, as situações se equivalem. E a praxe forense sempre supriu a falta da norma legal, com o Juízo determinado, de ofício, essa anotação na concessionária ou atendendo postulação dessa providência por parte do exequente. - No caso, como visto, houve omissão do cartório. Entretanto, nem mesmo com o despacho do Juiz, o exequente não se interessou em implementá-la, cobrando a providência do cart ório e insistindo nessa anotação. - Sem dúvida, que a norma processual, mencionada acima, teria sido mais adequada se fosse mais abrangente, determinando a anotação ou averbação da penhora, nos registros respectivos, dos bens, cuja transferência não se opera sem a modificação desses registros. Além do telefone, poder-se-ia exemplificar com veículo automotor, embora, nesta hipótese, a penhora se consuma, de regra, com a efetiva apreensão do automotor. - Esta, sem dúvida, é a única forma de evitar a venda do bem penhorado para terceiro, de boa-fé. - E a homenagem à boa-fé tem de superar o alegado critério objetivo de caracterização da fraude à execução. - Esta, a fraude à execução, somente deixa de surtir o seu efeito, de tornar ineficaz alienação, quando esbarra na boa-fé do terceiro subadquirente, ou seja, aquele que adquiriu o bem de outrem, que não o executado. - Esta, "data venia", transparece-me a posição mais correta e justa, evitando um prejuízo para quem é completamente estranho em relação às partes do processo, principalmente do devedor, com o qual não entabulou qualquer negócio. - Essa boa-fé, a ser preservada, serviu de diretriz aos julgamentos do Colendo STJ, ao afastar a ineficácia decorrente da fraude à execução, quando a penhora de imóvel não estava registrada no RGI, possibilitando a sua transferência sucessiva. - A respeito da preservação da boa-fé, na compra de imóvel penhorado, fomos relator dos Embargos Infringentes nº 179/97, de cujo acórdão pedimos vênia para transcrever um tópico que se segue: "Entretanto, a falta desse registro da penhora tornará precária a garantia da execução, deixando de existir a publicidade desta, que é, praticamente, a única forma de preservar o imóvel de alienações sucessivas, conforme preconizado no art. 240 da Lei de Registros Públicos (Lei 6.015, de 13-12-73), bem lembrado pelas embargantes. Isto porque, entre a negligência do exeq uente, que não providenciou o registro da penhora, e a boa-fé de terceiro, que adquiriu o imóvel de outrem, que não o executado, deve prevalecer a boa-fé desse terceiro. Em suma, a ineficácia da alienação em relação ao comprador do imóvel penhorado, sem registro, não afeta ou não contamina uma segunda alienação, em respeito ao princípio da boa-fé, que é regra basilar de resguardo dos negócios jurídicos. Vale recordar que essa regra, de respeito à boa-fé, é expressa em se tratando de terceiros adquirentes em caso de fraude a credor, conforme previsto no art. 1.090, "in fine", do Código Civil, numa clara interpretação "a contrário". E a mesma exigência, em se configurando a hipótese, como na espécie, de fraude à execução, veio apenas fazer justiça a situações similares, não obstante, no caso, a própria Justiça, seja atingida no cumprimento de sua obrigação de prestação jurisdicional. Contudo, sobreleva, a par da execução, a negligência do exequente em promover o registro da penhora. E entre a negligência do credor e a boa-fé do terceiro adquirente, a prevalência desta é uma questão de justiça, uma vez que a conduta culposa de uma pessoa não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Decorrendo a transferência do direito ao uso da linha telefônica de registro na concessionária de telefonia, é de rigor a anotação da penhora, nesse registro, a fim de preservá-lo de alienações sucessivas, evitando a sua aquisição por terceiro de boa-fé, em relação ao qual não pode prevalecer a ineficácia da alienação a título de fraude à execução. A boa-fé do terceiro adquirente prevalece, afastando a ineficácia da alienação, a menos que o exequente comprove que ele sabia que a linha telefônica era objeto de penhora. A falta de anotação da penhora, na empresa de telefonia, que decorre também de omissão do credor exequente, não pode prejudicar terceiro de boa-fé.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2026-09-10T23:34:23.152Z</dcterms:created>
  <dcterms:modified xsi:type="dcterms:W3CDTF">2026-09-10T23:34:23.152Z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