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02. LEI UNIFORME DE GENEBRA — CONVENÇÕES PARA ADOÇÃO - PROMULGA</w:t>
      </w:r>
    </w:p>
    <w:p/>
    <w:p>
      <w:pPr>
        <w:pStyle w:val="Heading2"/>
      </w:pPr>
      <w:r>
        <w:rPr>
          <w:b/>
          <w:bCs/>
        </w:rPr>
        <w:t xml:space="preserve">Ementa</w:t>
      </w:r>
    </w:p>
    <w:p>
      <w:r>
        <w:t xml:space="preserve">Art. 35 O vencimento de uma letra a certo termo de vista determina se, quer pela data do aceite, quer pela do protesto. Na falta de protesto, o aceite não datado entende-se, no que respeita ao aceitante, como tendo sido dado no último dia do prazo para a apresentação ao aceite. Art. 36 O vencimento de uma letra sacada a um ou mais meses de data ou de vista será na data correspondente do mês em que o pagamento se deve efetuar. Na falta de data correspondente, o vencimento será no último dia desse mês. Quando a letra é sacada a 1 (um) ou mais meses e meio de data ou de vista, contam-se primeiro os meses inteiros. Se o vencimento for fixado para o princípio, meado ou fim do mês, entende-se que a letra será vencível no primeiro, no dia 15 (quinze), ou no último dia desse mês. As expressões "oito dias" ou "quinze dias" entendem-se não como uma ou duas semanas, mas como um prazo de oito ou quinze dias efetivos. A expressão "meio mês" indica um prazo de quinze dias. Art. 37 Quando uma letra é pagável num dia fixo num lugar em que o calendário é diferente do lugar de emissão, a data do vencimento é considerada como fixada segundo o calendário do lugar de pagamento. Quando uma letra sacada entre duas praças que em calendários diferentes é pagável a certo termo de vista, o dia da emissão é referido ao dia correspondente do calendário do lugar de pagamento, para o efeito da determinação da data do vencimento. Os prazos de apresentação das letras são calculados segundo as regras da alínea precedente. Estas regras não se aplicam se uma cláusula da letra, ou até o simples enunciado do título, indicar que houve intenção de adotar regras diferentes. Capítulo VI - Do Pagamento Art. 38 O portador de uma letra pagável em dia fixo ou a certo termo de data ou de vista deve apresentá-la a pagamento no dia em que ela é pagável ou num dos dois dias úteis seguintes. A apresentação da letra a uma câmara de compensação equivale a apres entação a pagamento. Art. 39 O sacado que paga uma letra pode exigir que ela lhe seja entregue com a respectiva quitação. O portador não pode recusar qualquer pagamento parcial. No caso de pagamento parcial, o sacado pode exigir que desse pagamento se faça menção no letra e que dele lhe seja dada quitação. Art. 40 O portador de uma letra não pode ser obrigado a receber o pagamento dela antes do vencimento. O sacado que paga uma letra antes do vencimento fá-lo sob sua responsabilidade. Aquele que paga uma letra no vencimento fica validamente desobrigado, salvo se da sua parte tiver havido fraude ou falta grave. É obrigado a verificar a regularidade da sucessão dos endossos mas não a assinatura dos endossantes. Art. 41 Se numa letra se estipular o pagamento em moeda que não tenha curso legal no lugar do pagamento, pode a sua importância ser paga na moeda do país, segundo o seu valor no dia do vencimento. Se o devedor está em atraso, o portador pode, à sua escolha, pedir que o pagamento da importância da letra seja feito na moeda do país ao câmbio do dia do vencimento ou ao câmbio do dia do pagamento. A determinação do valor da moeda estrangeira será feita segundo os usos do lugar de pagamento. O sacador pode, todavia, estipular que a soma a pagar seja calculada segundo um câmbio fixado na letra. As regras acima indicadas não se aplicam ao caso em que o sacador tenha estipulado que o pagamento deverá ser efetuado numa certa moeda especificada (cláusula de pagamento efetivo numa moeda estrangeira). Se a importância da letra for indicada numa moeda que tenha a mesma denominação mas o valor diferente no país de emissão e no de pagamento, presume-se que se fez referência à moeda do lugar de pagamento. Art. 42 Se a letra não for apresentada a pagamento dentro do prazo fixado no artigo 38, qualquer devedor tem a faculdade de depositar a sua importância junto da autoridade competente à custa do portador e sob a responsabi lidade deste. Capítulo VII - Da ação por falta de aceite e falta de pagamento Art. 43 O portador de uma letra pode exercer os seus direitos de ação contra os endossantes, sacador e outros coobrigados: no vencimento; se o pagamento não foi efetuado; mesmo antes do vencimento: 1) se houve recusa total ou parcial de aceite; 2) nos casos de falência do sacado, quer ele tenha aceite, quer não, de suspensão de pagamentos do mesmo, ainda que não constatada por sentença, ou de ter sido promovida, sem resultado, execução dos seus bens; 3) nos casos de falência do sacador de uma letra não aceitável. Art. 44 A recu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2026-07-28T02:46:01.919Z</dcterms:created>
  <dcterms:modified xsi:type="dcterms:W3CDTF">2026-07-28T02:46:01.919Z</dcterms:modified>
</cp:coreProperties>
</file>

<file path=docProps/custom.xml><?xml version="1.0" encoding="utf-8"?>
<Properties xmlns="http://schemas.openxmlformats.org/officeDocument/2006/custom-properties" xmlns:vt="http://schemas.openxmlformats.org/officeDocument/2006/docPropsVTypes"/>
</file>