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/>
    <w:p>
      <w:r>
        <w:t xml:space="preserve">ESTABELECER A GRATUIDADE DE ESTACIONAMENTO DE VEÍCULO EM IMÓVEL RESIDENCIAL OU NÃO — VIOLAÇÃO AO DIREITO DE PROPRIEDADE E A COMPETÊNCIA EXCLUSIVA DA UNIÃO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cobrança de estacionamento em garagem não é dano e em nada desvirtua a função social da propriedade, caracterizando-se como um direito do "verus dominus" sendo, a exigência da gratuidade na ocupação de vagas de garagem, uma restrição de poder só previsível em limitadas circunstâncias e exclusivamente através de lei federal. - Por seu lado, a gratuidade regulamentada por lei para esses espaços de estacionamento de veículos afronta o direito adquirido do proprietário, na precedente destinação da propriedade imóvel, seja residencial ou não residencial, esta última em sua generalidade. Ac. de 29-03-1999 Revista de Direito, TJRJ, Julho/Setembro 2000 - Vol. 44 - Pág. 115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estacionamento em garagem não é dano e em nada desvirtua a função social da propriedade, caracterizando-se como um direito do "verus dominus" sendo, a exigência da gratuidade na ocupação de vagas de garagem, uma restrição de poder só previsível em limitadas circunstâncias e exclusivamente através de lei federal. - Por seu lado, a gratuidade regulamentada por lei para esses espaços de estacionamento de veículos afronta o direito adquirido do proprietário, na precedente destinação da propriedade imóvel, seja residencial ou não residencial, esta última em sua generalidade.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2026-07-28T03:24:25.748Z</dcterms:created>
  <dcterms:modified xsi:type="dcterms:W3CDTF">2026-07-28T03:24:25.748Z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