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/>
    <w:p>
      <w:r>
        <w:t xml:space="preserve">ESTABELECER A GRATUIDADE DE ESTACIONAMENTO DE VEÍCULO EM IMÓVEL RESIDENCIAL OU NÃO — VIOLAÇÃO AO DIREITO DE PROPRIEDADE E A COMPETÊNCIA EXCLUSIVA DA UNIÃO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cobrança de estacionamento em garagem não é dano e em nada desvirtua a função social da propriedade, caracterizando-se como um direito do "verus dominus" sendo, a exigência da gratuidade na ocupação de vagas de garagem, uma restrição de poder só previsível em limitadas circunstâncias e exclusivamente através de lei federal. - Por seu lado, a gratuidade regulamentada por lei para esses espaços de estacionamento de veículos afronta o direito adquirido do proprietário, na precedente destinação da propriedade imóvel, seja residencial ou não residencial, esta última em sua generalidade. Ac. de 29-03-1999 Revista de Direito, TJRJ, Julho/Setembro 2000 - Vol. 44 - Pág. 115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estacionamento em garagem não é dano e em nada desvirtua a função social da propriedade, caracterizando-se como um direito do "verus dominus" sendo, a exigência da gratuidade na ocupação de vagas de garagem, uma restrição de poder só previsível em limitadas circunstâncias e exclusivamente através de lei federal. - Por seu lado, a gratuidade regulamentada por lei para esses espaços de estacionamento de veículos afronta o direito adquirido do proprietário, na precedente destinação da propriedade imóvel, seja residencial ou não residencial, esta última em sua generalidade.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2026-10-26T03:27:19.537Z</dcterms:created>
  <dcterms:modified xsi:type="dcterms:W3CDTF">2026-10-26T03:27:19.537Z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