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03. LEI UNIFORME DE GENEBRA — CONVENÇÕES PARA ADOÇÃO - PROMULGA</w:t>
      </w:r>
    </w:p>
    <w:p/>
    <w:p>
      <w:pPr>
        <w:pStyle w:val="Heading2"/>
      </w:pPr>
      <w:r>
        <w:rPr>
          <w:b/>
          <w:bCs/>
        </w:rPr>
        <w:t xml:space="preserve">Ementa</w:t>
      </w:r>
    </w:p>
    <w:p>
      <w:r>
        <w:t xml:space="preserve">ANEXO II Art. 1° Qualquer das Altas Partes Contratantes pode prescrever que a obrigação de inserir nas letras passadas no seu território a palavra "letra", prevista no artigo 1°, n° 1, da lei uniforme, só se aplicará 6 (seis) meses após a entrada em vigor da presente Convenção. Art. 2° Qualquer das Altas Partes Contratantes tem, pelo que respeita às obrigações contraídas em matéria de letras no seu território, a faculdade de determinar de que maneira pode ser suprida a falta de assinatura, desde que por uma declaração autêntica escrita na letra se possa constatar a vontade daquele que deveria ter assinado. Art. 3° Qualquer das Altas Partes Contratantes reserva-se a faculdade de não inserir o artigo 10 da lei uniforme na sua lei nacional. Art. 4° Por derrogação da alínea primeira do artigo 31 da lei uniforme, qualquer das Altas Partes Contratantes tem a faculdade de admitir a possibilidade de ser dado um aval no seu território por ato separado em que se indique o lugar onde foi feito. Art. 5° Qualquer das Altas Partes Contratantes pode completar o artigo 38 da lei uniforme dispondo que, em relação às letras pagáveis no seu território, o portador deverá fazer a apresentação no próprio dia do vencimento; a inobservância desta obrigação só acarreta responsabilidade por perdas e danos. As outras Altas Partes Contratantes terão a faculdade de fixar as condições em que reconhecerão uma tal obrigação. Art. 6° A cada uma das Altas Partes Contratantes incumbe determinar, para os efeitos da aplicação da última alínea do artigo 38, quais as instituições que, segundo a lei nacional, devam ser consideradas câmaras de compensação. Art. 7° Pelo que se refere às letras pagáveis no seu território, qualquer das Altas Partes Contratantes tem a faculdade de sustar, se o julgar necessário, em circunstâncias excepcionais relacionadas com a taxa de câmbio da moeda nacional, os efeitos da cláusula prevista no artigo 41 relativa ao pagam ento efetivo em moeda estrangeira. A mesma regra se aplica no que respeita à emissão no território nacional de letras em moedas estrangeiras. Art. 8° Qualquer das Altas Partes Contratantes tem a faculdade de determinar que os protestos a fazer no seu território possam ser substituídos por uma declaração datada, escrita na própria letra e assinada pelo sacado, exceto no caso de o sacador exigir no texto da letra que se faça um protesto com as formalidades devidas. Qualquer das Altas Partes Contratantes tem igualmente a faculdade de determinar que a dita declaração seja transcrita num registro público no prazo fixado para os protestos. No caso previsto nas alíneas precedentes o endosso sem data presume se ter sido feito anteriormente ao protesto. Art. 9° Por derrogação da alínea terceira do artigo 44 da lei uniforme, qualquer das Altas Partes Contratantes tem a faculdade de determinar que o protesto por falta de pagamento deve ser feito no dia em que a letra é pagável ou num dos 2 (dois) dias úteis seguintes. Art. 10 Fica reservada para a legislação de cada uma das Altas Partes Contratantes a determinação precisa das situações jurídicas a que se referem os ns. 2 e 3 do artigo 43 e os ns. 5 e 6 do artigo 44 da lei uniforme. Art. 11 Por derrogação dos ns. 2 e 3 do artigo 43 e do artigo 74 da lei uniforme, qualquer das Altas Partes Contratantes reserva-se a faculdade de admitir na sua legislação a possibilidade, para os garantes de uma letra que tenham sido acionados, de ser concedido um alongamento de prazos, os quais não poderão em caso algum ir além da data do vencimento da letra. Art. 12 Por derrogação do artigo 45 da lei uniforme, qualquer das Altas Partes Contratantes tem a faculdade de manter ou de introduzir o sistema de aviso por intermédio de um agente público, que consiste no seguinte: ao fazer o protesto por falta de aceite ou por falta de pagamento, o notário ou o funcionário público incumbido desse serviço, segu ndo a lei nacional, é obrigado a dar comunicação por escrito desse protesto às pessoas obrigadas pela letra, cujos endereços figuram nela, ou que sejam conhecidos do agente que faz o protesto, ou sejam indicados pelas pessoas que exigiram o protesto. As despesas originadas por esses avisos serão adicionadas às despesas do protesto. Art. 13 Qualquer das Altas Partes Contratantes tem a faculdade de determinar, no que respeita às letras passadas e pagáveis no seu território, que a taxa de juro a que referem os ns. 2 dos artigos 48 e 49 da lei uniforme poderá ser substituída pela taxa legal em 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2026-07-27T23:34:33.026Z</dcterms:created>
  <dcterms:modified xsi:type="dcterms:W3CDTF">2026-07-27T23:34:33.026Z</dcterms:modified>
</cp:coreProperties>
</file>

<file path=docProps/custom.xml><?xml version="1.0" encoding="utf-8"?>
<Properties xmlns="http://schemas.openxmlformats.org/officeDocument/2006/custom-properties" xmlns:vt="http://schemas.openxmlformats.org/officeDocument/2006/docPropsVTypes"/>
</file>