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/>
    <w:p>
      <w:r>
        <w:t xml:space="preserve">DECRETO E LEI ESTADUAL QUE A ESTABELECE COMO ÍNDICE DE CORREÇÃO MONETÁRIA PARA REAJUSTAR TRIBUTOS, MULTAS E DEMAIS OBRIGAÇÕES ESTADUAIS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Taxa Referencial (TR) não é índice de correção monetária, porque refletindo as variações do custo primário da captação dos depósitos a prazo fixo, não constitui índice que reflita a variação do poder aquisitivo da moeda. A Taxa Referencial prevista na Lei nº 8.177/91 é calculada a partir da remuneração mensal média líqüida dos impostos, dos depósitos a prazo fixo captados nos bancos comerciais, bancos de investimentos, caixas econômicas ou títulos públicos federais, estaduais e municipais. Não sendo mera atualização monetária, a sua incidência altera a expressão nominal e o valor real do tributo, violando, dessa forma, o art. 150, I, da Constituição Federal. Acolhimento. A discussão acerca da possibilidade ou não de adoção de outro índice de correção monetária é matéria que foge do âmbito de apreciação pelo Órgão Especial, devendo ser analisada, quando do julgamento da Apelação, pela Câmara suscitante. Ac. de 30-08-1999 VENCIDA A DESEMBARGADORA ÁUREA PIMENTEL Revista de Direito, TJRJ - Julho/Setembro 2000 - Vol. 44 - Pág. 82 EMENTÁRIO FORENSE. Janeiro, 2001. Ano LIII. Nº 626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2026-10-26T04:36:47.120Z</dcterms:created>
  <dcterms:modified xsi:type="dcterms:W3CDTF">2026-10-26T04:36:47.120Z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