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FORNECIMENTO DE MEDICAMENTO</w:t>
      </w:r>
    </w:p>
    <w:p/>
    <w:p/>
    <w:p>
      <w:r>
        <w:t xml:space="preserve">REGULARIZAÇÃO, ADMINISTRAÇÃO, AFORAMENTO E ALIENAÇÃO DE BENS IMÓVEIS — LEI 9.636/98 - REGULAMENTA</w:t>
      </w:r>
    </w:p>
    <w:p/>
    <w:p>
      <w:pPr>
        <w:pStyle w:val="Heading2"/>
      </w:pPr>
      <w:r>
        <w:rPr>
          <w:b/>
          <w:bCs/>
        </w:rPr>
        <w:t xml:space="preserve">Ementa</w:t>
      </w:r>
    </w:p>
    <w:p>
      <w:r>
        <w:t xml:space="preserve">DECRETO Nº 3.725, DE 10 DE JANEIRO DE 2001 Regulamenta a Lei nº 9.636, de 15 de maio de 1998, que dispõe sobre a regularização, administração, aforamento e alienação de bens imóveis de domínio da União, e dá outras providências. O PRESIDENTE DA REPÚBLICA, no uso da atribuição que lhe confere o art. 84, inciso IV, da Constituição, e tendo em vista o disposto no art. 49 da Lei no 9.636, de 15 de maio de 1998, DECRETA: Art. 1o A identificação, a demarcação, o cadastramento, a regularização e a fiscalização das áreas do patrimônio da União poderão ser realizadas mediante convênios ou contratos celebrados pela Secretaria do Patrimônio da União, que observem os seguintes limites para participação nas receitas de que trata o § 2o do art. 4o da Lei no 9.636, de 15 de maio de 1998, a serem fixados, em cada caso, em ato do Ministro de Estado do Planejamento, Orçamento e Gestão: I - para Estados, Distrito Federal e Municípios, e respectivas autarquias e fundações, considerado o universo de atividades assumidas: de dez a cinqüenta por cento; e II - para as demais entidades: de dez a trinta por cento. Parágrafo único. Excepcionalmente, em decorrência da complexidade, do volume e dos custos dos trabalhos a realizar, poderá ser estipulado regime distinto na participação das receitas de que trata este artigo. Art. 2o Considera-se para a finalidade de que trata o art. 6o da Lei no 9.636, de 1998: I - efetivo aproveitamento: a) a utilização de área pública como residência ou local de atividades comerciais, industriais ou de prestação de serviços, ou rurais de qualquer natureza, e o exercício de posse nas áreas contíguas ao terreno ocupado pelas construções correspondentes, até o limite de duas vezes a área de projeção das edificações de caráter permanente; e b) as ocorrências e especificações definidas pela Secretaria do Patrimônio da União; II - áreas de acesso necessárias ao terreno: a parcela de imóvel da União utilizada como servidão de passagem, quando possível, definida pela Secretaria do Patrimônio da União; III - áreas remanescentes que não constituem unidades autônomas: as que se encontrem, em razão do cadastramento de uma ou mais ocupações, da realização de obras públicas, da existência de acidentes geográficos ou de outras circunstâncias semelhantes, encravadas ou que possuam medidas inferiores às estabelecidas pelas posturas municipais ou à fração mínima rural fixada para a região; e IV - faixas de terrenos de marinha e de terrenos marginais que não possam constituir unidades autônomas por circunstâncias semelhantes às mencionadas no inciso anterior. Parágrafo único. Na hipótese de comprovação de efetivo aproveitamento por grupo de pessoas sob a forma de parcelamento irregular do solo, o cadastramento deverá ser realizado em nome coletivo. Art. 3o No exercício das atribuições de fiscalização e conservação de imóveis públicos, afetados ou não ao uso especial, a Secretaria do Patrimônio da União poderá requisitar a intervenção de força policial federal, além do necessário auxílio de força pública estadual e, nos casos que envolvam segurança nacional ou relevante ofensa a valores, instituições ou patrimônio públicos, de forças militares federais, observado o procedimento previsto em lei. Art. 4o Na concessão de aforamento, será dada preferência, com base no art. 13 da Lei no 9.636, de 1998, a quem, comprovadamente, em 15 de fevereiro de 1997, já ocupava o imóvel há mais de um ano e esteja, até a data da formalização do contrato de alienação do domínio útil, regularmente inscrito como ocupante e em dia com suas obrigações junto à Secretaria do Patrimônio da União. § 1o Previamente à publicação do edital de licitação, dar-se-á conhecimento do preço mínimo de venda do domínio útil ao titular da preferência de que trata este artigo, que poderá adquiri-lo por esse valor, devendo, para este fim, sob pena de decadência, manifestar o seu interesse na aquisição e apresentar a documentação exigida em lei e neste Decreto, e, ainda, celebrar o contrato de aforamento no prazo de seis meses, a contar da data da notificação. § 2o O prazo para celebração do contrato de que trata este artigo poderá ser prorrogado por mais seis meses, desde que o interessado apresente, antes do seu término, junto com a documentação que comprove a sua preferência, requerimento solicitando a prorrogação, situação em que, havendo variação significativa nos preços praticados no mercado imobiliário local, será feita nova avaliação, correndo os custos de sua realiza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2026-07-28T00:05:10.621Z</dcterms:created>
  <dcterms:modified xsi:type="dcterms:W3CDTF">2026-07-28T00:05:10.621Z</dcterms:modified>
</cp:coreProperties>
</file>

<file path=docProps/custom.xml><?xml version="1.0" encoding="utf-8"?>
<Properties xmlns="http://schemas.openxmlformats.org/officeDocument/2006/custom-properties" xmlns:vt="http://schemas.openxmlformats.org/officeDocument/2006/docPropsVTypes"/>
</file>