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1984</w:t>
      </w:r>
    </w:p>
    <w:p>
      <w:r>
        <w:rPr>
          <w:b/>
          <w:bCs/>
        </w:rPr>
        <w:t xml:space="preserve">Julgado em: </w:t>
      </w:r>
      <w:r>
        <w:t xml:space="preserve">01/08/1984</w:t>
      </w:r>
    </w:p>
    <w:p/>
    <w:p>
      <w:r>
        <w:t xml:space="preserve">EXECUÇÃO LIMINAR — CITAÇÃO DA DEVEDORA -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o art. 214 do Código de Processo Civil "para a validade do processo é indispensável a citação inicial do réu". - Nas ações de busca e apreensão, apreendidos e depositados os bens alienados fiduciariamente, cita-se o devedor para, no prazo de três (3) dias, contestar, querendo (Dec. lei nº 911/69, art. 3º, § 1º). - No caso presente, repita-se, a firma ré não foi citada e, tendo comparecido nos autos para contestar, o juiz do primeiro grau determinou o desentranhamento da contestação e documentos. - Com efeito se não existe citação, o processo é nulo a partir do despacho que determinou o desentranhamento da contestação e documentos a fim de que firma a ré (devedora) seja citada para, no prazo legal, contestar. Julgado em 02-08-1984 Jurisprudência Catarinense. 4º Trimestre 1984 - Vol. 46 - Pág. 192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busca e apreensão, prevista no Decreto-lei nº 911/69, executada a liminar a devedora deverá ser citada para, no prazo de três (3) dias, contestar. A falta de citação acarreta nulidade processual que deve ser decretada de ofício.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2026-07-28T00:41:59.185Z</dcterms:created>
  <dcterms:modified xsi:type="dcterms:W3CDTF">2026-07-28T00:41:59.185Z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