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 1984</w:t>
      </w:r>
    </w:p>
    <w:p>
      <w:r>
        <w:rPr>
          <w:b/>
          <w:bCs/>
        </w:rPr>
        <w:t xml:space="preserve">Julgado em: </w:t>
      </w:r>
      <w:r>
        <w:t xml:space="preserve">22/10/1984</w:t>
      </w:r>
    </w:p>
    <w:p/>
    <w:p>
      <w:r>
        <w:t xml:space="preserve">SEU CARÁTER AUTÔNOMO E INDEPENDENTE — DISCUSSÃO SOBRE ORIGEM E CAUSA DO TÍTULO - IMPERTINÊNCIA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pretensão recursal visa a reforma da decisão de primeiro grau, alegando o embargante que o julgamento antecipado da lide cerceou seu direito de defesa, impedindo "a produção ou complementação da prova" de ter sido parte na relação fundamental e a possibilidade de indagação da "causa debendi". Sustenta ainda, a procedência dos embargos em razão da confissão do apelado - "confessou expressamente a origem da dívida, bem como, não negou tivesse recebido os títulos de má fé". - Com as contra-razões, os autos subiram. - O recurso apresenta-se com feições protelatórias, não se exigindo grandes indagações. - Diante dos títulos formalmente perfeitos, contendo todos os requisitos e as exigências legais, desnecessária seria a realização de audiência para a discussão da origem das notas promissórias assinadas pelo apelante na condição de avalista. - E ao avalista é vedado discutir a "causa debendi" que deu motivo às condições em execução, matéria afeta, apenas, ao emitente dos títulos e ao credor, isto é, restrita aos obrigados originários, conforme a jurisprudência colacionada. Julgado em 23-10-1984 Jurisprudência Catarinense. 4º Trimestre 1984 - Vol. 46 - Pág. 120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avalista, pelo aval, assume obrigação autônoma e independente; qualquer discussão envolvendo a origem ou a causa do título - que representa dívida líquida, certa e exigível - considera-se, em relação a ele, impertinente.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2026-10-26T05:21:54.680Z</dcterms:created>
  <dcterms:modified xsi:type="dcterms:W3CDTF">2026-10-26T05:21:54.680Z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