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Ap. 5.367</w:t>
      </w:r>
    </w:p>
    <w:p>
      <w:r>
        <w:rPr>
          <w:b/>
          <w:bCs/>
        </w:rPr>
        <w:t xml:space="preserve">Julgado em: </w:t>
      </w:r>
      <w:r>
        <w:t xml:space="preserve">01/10/1984</w:t>
      </w:r>
    </w:p>
    <w:p/>
    <w:p>
      <w:r>
        <w:t xml:space="preserve">PREENCHIMENTO PELO CREDOR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presume, realmente, que ao portador o emitente tenha conferido mandato para inserir, enquanto não tiver, os elementos necessários a completar os claros do título. Os requisitos previstos devem constar do título à data em que é apontado para protesto, ou para valer publicamente; e mesmo incompleto, pode circular. - Já ficou decidido: "É admissível, em face da Lei Cambial, o preenchimento pelo portador de nota promissória emitida em branco" (II TARJ 2ª C. Ap. 5.367, j. 20-06-72, rel. Juiz ENÉAS M. COTA, in ADCOAS, 1979/21, ementa 62.987). - Mais: "A nota promissória em branco pode ser completada pelo portador" TJSC, 2ª C. Ap. 11.547, j. 11-06-76, v. u. rel. Des. HÉLIO MOSIMANN, in ADCOAS, 1976, ementa 45.139). - Ainda: "A lei brasileira e a chamada 'Lei Uniforme' autorizam a emissão de cambiais em branco, com irrestrita circulabilidade. E, na ensinança doutrinária o mínimo exigível para a existência de uma letra em branco é a firma cambiariamente utilizável. E entre o mínimo, que é esse, e o máximo que está no título completo, é indiferente a quantidade de dizeres omitidos. E, qualquer que seja o número ou a importância dos requisitos omitidos, a letra em branco pode ser sempre validamente completada". E o preenchimento, sendo tácito o mandato outorgado ao possuidor, não minimiza o valor da cambial" (1º TACivSP, 5ª C, Ap. 204.952, j. 23-10-74, v. u. rel. Juiz OCTÁVIO STUCCHI, in ADCOAS, 1973, ementa 38.704). Julgado em 02-10-1984 Revista dos Tribunais. Janeiro 1985 - Vol. 591 - Pág. 135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pacífico o entendimento de que os títulos de crédito podem ser emitidos incompletos ou em branco, podendo o legítimo portador preenchê-los, neles lançando as demais indicações necessárias à sua integração, até o momento de fazê-los valer publicamente.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2026-10-26T03:25:04.825Z</dcterms:created>
  <dcterms:modified xsi:type="dcterms:W3CDTF">2026-10-26T03:25:04.825Z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