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07/10/1981</w:t>
      </w:r>
    </w:p>
    <w:p/>
    <w:p>
      <w:r>
        <w:t xml:space="preserve">DIREITO DO DEVEDOR DE OPOR AS EXCEÇÕES AOS EVENTUAIS DETENTORES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proposta pelo tomador dos títulos que, à primeira vista, estaria imune às exceções opostas pelo Devedor segundo os princípios que regem a obrigação cambial. Mas aqui são títulos vinculados a negócio jurídico subjacente, circunstância expressa nas próprias promissórias e, portanto, do pleno conhecimento do detentor Exequente. - A defesa oposta, "data venia", tem inteira adequação à hipótese ora submetida ao nosso julgamento. - Se é certo que o contrato facultou ao cessionário a realização da condição às custas do Promitente Cedente, não é menos verdade que o recebimento das importâncias reclamadas estava condicionado ao cumprimento do desmembramento, cujo interessado era o emitente dos títulos. - Assim, os títulos se transferiram com aquela condição que, inafastada, não pode dar azo à cobrança compulsória. Julgado em 08-10-1981 Arquivo do EMFOR, TA/575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Nota Promissória vinculada a negócio jurídico subjacente, as exceções do Devedor podem ser opostas aos eventuais detentores dos títulos.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2026-07-27T23:59:43.432Z</dcterms:created>
  <dcterms:modified xsi:type="dcterms:W3CDTF">2026-07-27T23:59:43.432Z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