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07/10/1981</w:t>
      </w:r>
    </w:p>
    <w:p/>
    <w:p>
      <w:r>
        <w:t xml:space="preserve">DIREITO DO DEVEDOR DE OPOR AS EXCEÇÕES AOS EVENTUAIS DETENTORES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proposta pelo tomador dos títulos que, à primeira vista, estaria imune às exceções opostas pelo Devedor segundo os princípios que regem a obrigação cambial. Mas aqui são títulos vinculados a negócio jurídico subjacente, circunstância expressa nas próprias promissórias e, portanto, do pleno conhecimento do detentor Exequente. - A defesa oposta, "data venia", tem inteira adequação à hipótese ora submetida ao nosso julgamento. - Se é certo que o contrato facultou ao cessionário a realização da condição às custas do Promitente Cedente, não é menos verdade que o recebimento das importâncias reclamadas estava condicionado ao cumprimento do desmembramento, cujo interessado era o emitente dos títulos. - Assim, os títulos se transferiram com aquela condição que, inafastada, não pode dar azo à cobrança compulsória. Julgado em 08-10-1981 Arquivo do EMFOR, TA/575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Nota Promissória vinculada a negócio jurídico subjacente, as exceções do Devedor podem ser opostas aos eventuais detentores dos títulos.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2026-10-26T04:17:23.454Z</dcterms:created>
  <dcterms:modified xsi:type="dcterms:W3CDTF">2026-10-26T04:17:23.454Z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