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19/12/1984</w:t>
      </w:r>
    </w:p>
    <w:p/>
    <w:p>
      <w:r>
        <w:t xml:space="preserve">QUANDO SE DEFERE A INSCRIÇÃO EM REGISTRO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o casamento religioso constitucionalmente equiparado ao civil, a autoridade referida no § único do art. 199 do Código Civil compreende tanto a civil como a eclesiástica, pois a ambas "incumbe presidir o ato". Os autos não tratam, portanto, de simples casamento religioso sem habilitação prévia. Trata-se de casamento in "extremis", celebrado por autoridade competente na forma de lei. - O ato tanto poderia ter sido presidido pelo juiz de casamento como por um ministro religioso, ou poderia, simplesmente, ter sido presenciado por seis testemunhas. Em qualquer caso, para a inscrição, é suficiente o requerimento do cônjuge sobrevivo, não tendo sentido que o casamento realizado in "articulo mortis" fique prejudicado pelo falecimento efetivo daquele cujo estado justificou a celebração excepcional. Julgado em 20-12-1984 Arquivo do EMFOR, TJ/1.328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§ 2º, art. 175 da Constituição Federal. - O casamento realizado "in articulo mortis" por ministro religioso competente pode ser inscrito no registro público mediante requerimento do nubente sobrevivo.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2026-10-26T03:35:40.478Z</dcterms:created>
  <dcterms:modified xsi:type="dcterms:W3CDTF">2026-10-26T03:35:40.478Z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