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19/12/1984</w:t>
      </w:r>
    </w:p>
    <w:p/>
    <w:p>
      <w:r>
        <w:t xml:space="preserve">QUANDO SE DEFERE A INSCRIÇÃO EM REGISTRO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o casamento religioso constitucionalmente equiparado ao civil, a autoridade referida no § único do art. 199 do Código Civil compreende tanto a civil como a eclesiástica, pois a ambas "incumbe presidir o ato". Os autos não tratam, portanto, de simples casamento religioso sem habilitação prévia. Trata-se de casamento in "extremis", celebrado por autoridade competente na forma de lei. - O ato tanto poderia ter sido presidido pelo juiz de casamento como por um ministro religioso, ou poderia, simplesmente, ter sido presenciado por seis testemunhas. Em qualquer caso, para a inscrição, é suficiente o requerimento do cônjuge sobrevivo, não tendo sentido que o casamento realizado in "articulo mortis" fique prejudicado pelo falecimento efetivo daquele cujo estado justificou a celebração excepcional. Julgado em 20-12-1984 Arquivo do EMFOR, TJ/1.328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§ 2º, art. 175 da Constituição Federal. - O casamento realizado "in articulo mortis" por ministro religioso competente pode ser inscrito no registro público mediante requerimento do nubente sobrevivo.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2026-07-28T00:52:10.338Z</dcterms:created>
  <dcterms:modified xsi:type="dcterms:W3CDTF">2026-07-28T00:52:10.338Z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