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Julgado em: </w:t>
      </w:r>
      <w:r>
        <w:t xml:space="preserve">13/05/1984</w:t>
      </w:r>
    </w:p>
    <w:p/>
    <w:p>
      <w:r>
        <w:t xml:space="preserve">DESPACHO DE RELATOR QUE INDEFERE O RECURSO — GRUPO DE CÂMARAS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artigo 532 do CPC, que regula situação análoga, à dos embargos infringente, dispõe que se o Relator os indeferir caberá recurso para o órgão competente é o Grupo de Câmaras. - Observa-se da sistemática do Regimento Interno que a Câmara só tem competência para decidir em agravo regimental sobre despachos proferidos pelo Relator durante o processamento do recurso. Esgotada a função jurisdicional da Câmara pelo julgamento definitivo do recurso, o julgamento do Agravo Regimental compete a outro órgão do Tribunal, o competente para o julgamento do recurso ou seu descabimento, no caso o Grupo de Câmaras a que for distribuído. - A decisão da E. 5º Câmara Cível feriu, assim, direito líquido e certo do impetrante de o seu Agravo Regimental ser julgado pelo órgão competente do Tribunal. Julgado em 14-05-1984 Arquivo do EMFOR, TA/596 EMFOR 439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competência para decidir em agravo regimental sobre despacho do Relator que indefere liminarmente o recurso é do Grupo de Câmaras a que for distribuído o agravo.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2026-07-28T02:18:04.263Z</dcterms:created>
  <dcterms:modified xsi:type="dcterms:W3CDTF">2026-07-28T02:18:04.263Z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