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Julgado em: </w:t>
      </w:r>
      <w:r>
        <w:t xml:space="preserve">31/05/1983</w:t>
      </w:r>
    </w:p>
    <w:p/>
    <w:p>
      <w:r>
        <w:t xml:space="preserve">POSSIBILIDADE DE SER DECLARADA NA SENTENÇA FINAL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houve preclusão, se a matéria não foi anteriormente apreciada, como ocorre in "casu", pois embora argüida na contestação não o foi em forma de preliminar e o Juiz ao declarar saneado o processo e deferir a produção de prova oral, documental e pericial, não apreciou tal matéria. - A própria autora reconhece que ingressou em juízo já decorrido o prazo decadencial, razão porque procura agora justificar-se ou proteger-se com a alegada preclusão em face do saneamento do processo, sem apreciação da matéria argüida na contestação. - Pelos motivos expostos, nega-se provimento ao recurso. Julgado em 01-06-1983 Arquivo do EMFOR, TA/581 EMFOR 439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de não ter sido a decadência do direito do autor, declarada no início do processo, não exclui a possibilidade de ser tal decadência reconhecida por ocasião da sentença final e assim proclamada pelo Juiz, julgando extinto o processo.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2026-10-26T04:40:15.083Z</dcterms:created>
  <dcterms:modified xsi:type="dcterms:W3CDTF">2026-10-26T04:40:15.083Z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