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31/05/1983</w:t>
      </w:r>
    </w:p>
    <w:p/>
    <w:p>
      <w:r>
        <w:t xml:space="preserve">POSSIBILIDADE DE SER DECLARADA NA SENTENÇA FINAL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houve preclusão, se a matéria não foi anteriormente apreciada, como ocorre in "casu", pois embora argüida na contestação não o foi em forma de preliminar e o Juiz ao declarar saneado o processo e deferir a produção de prova oral, documental e pericial, não apreciou tal matéria. - A própria autora reconhece que ingressou em juízo já decorrido o prazo decadencial, razão porque procura agora justificar-se ou proteger-se com a alegada preclusão em face do saneamento do processo, sem apreciação da matéria argüida na contestação. - Pelos motivos expostos, nega-se provimento ao recurso. Julgado em 01-06-1983 Arquivo do EMFOR, TA/581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não ter sido a decadência do direito do autor, declarada no início do processo, não exclui a possibilidade de ser tal decadência reconhecida por ocasião da sentença final e assim proclamada pelo Juiz, julgando extinto 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2026-07-28T00:29:36.826Z</dcterms:created>
  <dcterms:modified xsi:type="dcterms:W3CDTF">2026-07-28T00:29:36.826Z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