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10/12/1984</w:t>
      </w:r>
    </w:p>
    <w:p/>
    <w:p>
      <w:r>
        <w:t xml:space="preserve">RECEBIMENTO DO IMPOSTO PELO FISCO — QUANDO PERDE O DIREITO A NOVO LANÇAMENTO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realidade, não está o Fisco obrigado a aceitar os valores atribuídos aos bens pelos herdeiros. Mas o que pode fazer é o lançamento administrativo, dando-lhes o valor que entender correto. Assim, em tese, teria razão o Fisco com o seu inconformismo, embora a douta decisão tenha determinado o envio dos autos, à repartição competente para a estimação dos valores, o que, na realidade, não é o que diz a lei. - Verifica-se, todavia, que o Fisco aceitou os valores constantes daquele cálculo, procedendo não só a inscrição, como recebendo o tributo, o que equivale a uma aceitação tácita dos valores atribuídos, que agora pretende impugnar. - Se lhe assiste razão ao início, perdeu-a, todavia, diante do fato novo. Julgado em 11-12-1984 Arquivo do EMFOR, TJ/1.329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nº 7.019/82. - Embora não adstrito o Fisco aos valores dos bens atribuídos pelos herdeiros, o recebimento dos tributos devidos sem qualquer oposição, retira-lhe o direito de proceder a novo lançamento, como previsto no art. 1.034, § 2º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2026-10-26T03:05:56.760Z</dcterms:created>
  <dcterms:modified xsi:type="dcterms:W3CDTF">2026-10-26T03:05:56.760Z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