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Julgado em: </w:t>
      </w:r>
      <w:r>
        <w:t xml:space="preserve">28/04/1982</w:t>
      </w:r>
    </w:p>
    <w:p/>
    <w:p>
      <w:r>
        <w:t xml:space="preserve">INDEPENDE DO LUGAR DO DOMICÍLIO DO ADVOGADO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Despiciendos os argumentos do apelo, eis que nada importa à intimação na forma prevista no art. 236 do CPC o local em que esteja domiciliado o advogado da parte e, por seu turno, com exatidão, calculados os honorários devidos, no percentual e base determinados na sentença exequenda. - Em verdade, o questionamento a que se permitiu a executada ressente-se do vício de total desrazoabilidade, presumivelmente conhecida da apelante, principalmente, no que se refere à contagem da verba honorária, em que se nega a própria objetividade dos dados constantes do cálculo, e isto sujeita a apelante à multa processual aplicável ao mau litigante, nos termos dos arts. 16 e 17 do Código de Processo Civil. - Confirma-se, pois, a decisão apelada e impõe-se à apelante esta multa. Julgado em 29-04-1982 Arquivo do EMFOR, TA/580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intimação, pela forma prevista no art. 236 do CPC, independe do lugar em que esteja domiciliado o advogado.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2026-10-26T04:38:46.652Z</dcterms:created>
  <dcterms:modified xsi:type="dcterms:W3CDTF">2026-10-26T04:38:46.652Z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