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re 1984</w:t>
      </w:r>
    </w:p>
    <w:p>
      <w:r>
        <w:rPr>
          <w:b/>
          <w:bCs/>
        </w:rPr>
        <w:t xml:space="preserve">Julgado em: </w:t>
      </w:r>
      <w:r>
        <w:t xml:space="preserve">20/02/1984</w:t>
      </w:r>
    </w:p>
    <w:p/>
    <w:p>
      <w:r>
        <w:t xml:space="preserve">SUA LEGITIMIDADE PARA REQUERER A SUA ABERTURA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pertine ao mérito, assiste total razão ao apelante, mister se fazendo a reforma da sentença recorrida. - Convém transcrevermos um excerto do parecer da lavra do eminente procurador Dr. CLÁUDIO M. SOUZA: "Ora, estudando-se os autos, chega-se inequivocadamente à conclusão que na espécie, o postulante (apelante), possui legitimidade para requerer o inventário e partilha, porquanto, tem legitimidade concorrente por ser credor do espólio de CL, consoante demonstra robustamente a prova evidenciada nos autos. "Desse modo, não há dúvida que o credor do autor da herança tem legitimidade concorrente para pedir a abertura do inventário e partilha, conforme prevê o art. 988, inciso VI do Código de Processo Civil". - Oportuno que seja transcrito, conforme preleciona o jurista SÉRGIO S. FADEL, em sua obra, "Código de Processo Civil Comentado", vol. V pág. 134: "Também o credor do herdeiro, do legatário ou do autor da herança pode pedir a abertura do inventário, pois que a existência de bens do finado a inventariar é uma segurança para os seus credores ..." Julgado em 21-02-1984 Jurisprudência Catarinense. 4º Trimestre 1984 - Vol. 46 - Pág. 154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Conforme se depreende do art. 988, VI do CPC, o credor do falecido tem legitimidade e interesse para requerer a abertura do inventário.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2026-07-28T00:17:47.975Z</dcterms:created>
  <dcterms:modified xsi:type="dcterms:W3CDTF">2026-07-28T00:17:47.975Z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