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29/03/1982</w:t>
      </w:r>
    </w:p>
    <w:p/>
    <w:p>
      <w:r>
        <w:t xml:space="preserve">PREFERÊNCIA DO LOCATÁRIO — PROPOSTA INICIAL RECUSADA - QUANDO SERÁ OBRIGATÓRIA NOVA OFERTA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certo é que a lei do Inquilinato então vigente, em seu art. 16, assegurava ao locatário preferência para a aquisição do imóvel a ele locado, no caso de o proprietário pretender vendê-lo, isoladamente ou em conjunto com outras unidades e o ora embargante não deu ciência prévia ao embargado dessa alienação conjunta, em melhores condições e preços do que anteriormente estabelecidos e que lhe haviam sido participados, 10 meses passados. - Assim, descumpriu a lei o embargante e justa e adequada se mostra a solução dada ao litígio pelo v. acórdão, assegurando ao locatário o ressarcimento das perdas e danos decorrentes da omissão do proprietário, cujo valor, a ser apurado em execução, não poderá exercer àquele por que lhe foi inicialmente oferecido o imóvel. Julgado em 30-03-1982 Arquivo do EMFOR, TA/578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4.494/64 - Embora recusada pelo inquilino a proposta inicial, obrigatória será nova oferta do proprietário se este pretende, posteriormente, vender o imóvel por preço menor e em condições mais facilitadas, ainda que em conjunto com outras unidades. Direito ao ressarcimento das perdas e danos, pela omissão do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2026-10-26T05:23:31.910Z</dcterms:created>
  <dcterms:modified xsi:type="dcterms:W3CDTF">2026-10-26T05:23:31.910Z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