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RESPONSABILIDADE ADMINISTRATIVA</w:t>
      </w:r>
    </w:p>
    <w:p/>
    <w:p>
      <w:r>
        <w:rPr>
          <w:b/>
          <w:bCs/>
        </w:rPr>
        <w:t xml:space="preserve">Julgado em: </w:t>
      </w:r>
      <w:r>
        <w:t xml:space="preserve">19/12/1984</w:t>
      </w:r>
    </w:p>
    <w:p/>
    <w:p>
      <w:r>
        <w:t xml:space="preserve">ABANDONO DO FILHO — PAI QUE ASSUME O RISCO - SUFICIÊNCIA PARA SUA DECRETAÇÃO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De acordo com os elementos dos autos, o apelado jamais exerceu seus deveres de pai, deixando a apelante e seu filho à própria sorte e sem fortuna desde o nascimento. - Assim agindo, está claro que o apelado tinha bem consciente a possibilidade de o menor sofrer privações materiais e morais, tendo assumido o risco deste resultado. Logo, subjetivamente, o apelado enquadra-se na disposição do art. 395, II do Código Civil, devendo ser destituído do pátrio poder. - Não pode beneficiar o apelado o fato de a apelante, com seu trabalho e dedicação, ter conseguido evitar o estado de abandono objetivo de seu filho. - O elemento subjetivo prepondera sobre o objetivo. Tanto assim que se o menor passasse privações sem culpa do pai, este não perderia o pátrio poder. Mas este deve ser retirado de quem atenta contra a segurança material ou moral do filho, embora não alcance o resultado almejado. Julgado em 20-12-1984 Arquivo do EMFOR, TJ/1.327 EMFOR 439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a destituição do Pátrio Poder, é suficiente que o pai assuma o risco de estado de abandono do filho.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2026-10-26T04:25:48.087Z</dcterms:created>
  <dcterms:modified xsi:type="dcterms:W3CDTF">2026-10-26T04:25:48.087Z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