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22/09/1980</w:t>
      </w:r>
    </w:p>
    <w:p/>
    <w:p>
      <w:r>
        <w:t xml:space="preserve">ATO QUE COMPETE AO CREDOR QUANDO A INDICAÇÃO LHE É DEVOLVIDA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agravante, em processo de execução que move contra o agravado com vistas à nomeação de bens à penhora que lhe foi devolvida requereu fosse oficiado ao Imposto de Renda solicitando cópia da declaração de rendimentos do executado, o que foi negado pelo despacho agravado. Improcede o agravo. - Devolvida a nomeação de bens ao exequente, a este cabe a indicação, com investigação sobre a existência de bens penhoráveis, a qual não pode transferir para o Juízo. - O que o Código de Processo Civil faculta é a requisição de certidões necessárias à prova das alegações das partes, quando tais certidões forem negadas o que é coisa diversa de uma devassa na vida do executado, que se pretende fazer com a requisição negada. Julgado em 23-09-1980 Arquivo do EMFOR, TA/584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ao credor indicar bens à penhora, quando a nomeação lhe é devolvida, não podendo fazer-se substituir pelo Juízo na investigação sobre a existência de bens do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2026-10-26T04:37:33.782Z</dcterms:created>
  <dcterms:modified xsi:type="dcterms:W3CDTF">2026-10-26T04:37:33.782Z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