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22/09/1980</w:t>
      </w:r>
    </w:p>
    <w:p/>
    <w:p>
      <w:r>
        <w:t xml:space="preserve">ATO QUE COMPETE AO CREDOR QUANDO A INDICAÇÃO LHE É DEVOLVIDA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agravante, em processo de execução que move contra o agravado com vistas à nomeação de bens à penhora que lhe foi devolvida requereu fosse oficiado ao Imposto de Renda solicitando cópia da declaração de rendimentos do executado, o que foi negado pelo despacho agravado. Improcede o agravo. - Devolvida a nomeação de bens ao exequente, a este cabe a indicação, com investigação sobre a existência de bens penhoráveis, a qual não pode transferir para o Juízo. - O que o Código de Processo Civil faculta é a requisição de certidões necessárias à prova das alegações das partes, quando tais certidões forem negadas o que é coisa diversa de uma devassa na vida do executado, que se pretende fazer com a requisição negada. Julgado em 23-09-1980 Arquivo do EMFOR, TA/584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credor indicar bens à penhora, quando a nomeação lhe é devolvida, não podendo fazer-se substituir pelo Juízo na investigação sobre a existência de bens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2026-07-28T00:22:52.131Z</dcterms:created>
  <dcterms:modified xsi:type="dcterms:W3CDTF">2026-07-28T00:22:52.131Z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