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FUNCIONÁRIO PÚBLICO</w:t>
      </w:r>
    </w:p>
    <w:p>
      <w:r>
        <w:rPr>
          <w:i/>
          <w:iCs/>
          <w:color w:val="666666"/>
        </w:rPr>
        <w:t xml:space="preserve">RESPONSABILIDADE ADMINISTRATIVA</w:t>
      </w:r>
    </w:p>
    <w:p/>
    <w:p>
      <w:r>
        <w:rPr>
          <w:b/>
          <w:bCs/>
        </w:rPr>
        <w:t xml:space="preserve">Recurso: </w:t>
      </w:r>
      <w:r>
        <w:t xml:space="preserve">agravo regimental .</w:t>
      </w:r>
    </w:p>
    <w:p>
      <w:r>
        <w:rPr>
          <w:b/>
          <w:bCs/>
        </w:rPr>
        <w:t xml:space="preserve">Julgado em: </w:t>
      </w:r>
      <w:r>
        <w:t xml:space="preserve">26/04/1984</w:t>
      </w:r>
    </w:p>
    <w:p/>
    <w:p>
      <w:r>
        <w:t xml:space="preserve">PRAZO — SE CORRE ENTRE A LAVRATURA DO AUTO DE INFRAÇÃO E A DECISÃO DEFINITIVA DO RECURSO ADMINISTRATIVO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Conforme entendimento firmado por esta Corte, a lavratura do auto de infração consuma o lançamento do crédito tributário e interrompe definitivamente o prazo de decadência (CTN, art. 173, parágrafo único). A partir daí, começa a correr o prazo de prescrição, atinente à exigibilidade do crédito tributário. - Todavia, se o contribuinte interpõe reclamação ou recurso administrativo, este prazo fica suspenso até a decisão (art. 151 - III do CTN). No meio termo, portanto, não há fluxo de decadência, nem de prescrição. - Impõe-se, desse modo, a prevalência dos fundamentos do despacho impugnado. - Nego provimento ao agravo regimental. Julgado em 27-04-1984 Revista Trimestral de Jurisprudência. Novembro 1984 - Vol. 110 - Pág. 707 EMFOR 439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No intervalo entre a lavratura do auto de infração e a decisão definitiva de recurso administrativo de que tenha se valido o contribuinte não corre ainda o prazo de prescrição (CTN, art. 151, III). Tampouco o de decadência, já superado pelo auto, que importa lançamento do crédito tributário (STN, art. 142).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2026-07-28T00:16:42.122Z</dcterms:created>
  <dcterms:modified xsi:type="dcterms:W3CDTF">2026-07-28T00:16:42.122Z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