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26/04/1984</w:t>
      </w:r>
    </w:p>
    <w:p/>
    <w:p>
      <w:r>
        <w:t xml:space="preserve">PRAZO — SE CORRE ENTRE A LAVRATURA DO AUTO DE INFRAÇÃO E A DECISÃO DEFINITIVA DO RECURSO ADMINISTRATIVO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entendimento firmado por esta Corte, a lavratura do auto de infração consuma o lançamento do crédito tributário e interrompe definitivamente o prazo de decadência (CTN, art. 173, parágrafo único). A partir daí, começa a correr o prazo de prescrição, atinente à exigibilidade do crédito tributário. - Todavia, se o contribuinte interpõe reclamação ou recurso administrativo, este prazo fica suspenso até a decisão (art. 151 - III do CTN). No meio termo, portanto, não há fluxo de decadência, nem de prescrição. - Impõe-se, desse modo, a prevalência dos fundamentos do despacho impugnado. - Nego provimento ao agravo regimental. Julgado em 27-04-1984 Revista Trimestral de Jurisprudência. Novembro 1984 - Vol. 110 - Pág. 707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intervalo entre a lavratura do auto de infração e a decisão definitiva de recurso administrativo de que tenha se valido o contribuinte não corre ainda o prazo de prescrição (CTN, art. 151, III). Tampouco o de decadência, já superado pelo auto, que importa lançamento do crédito tributário (STN, art. 142).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2026-10-26T02:20:39.510Z</dcterms:created>
  <dcterms:modified xsi:type="dcterms:W3CDTF">2026-10-26T02:20:39.510Z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