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25/06/1984</w:t>
      </w:r>
    </w:p>
    <w:p/>
    <w:p>
      <w:r>
        <w:t xml:space="preserve">ACIDENTE DE TRÂNSITO — PROPRIEDADE DO VEÍCULO - FALTA DE PROVA - SE AUTORIZA O INDEFERIMENTO DA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da propriedade do veículo dito do autor não se confunde com a da existência do dano, bastando pensar-se nos lucros cessantes alegadamente decorrentes da privação do uso do veículo, que poderiam, em tese, reconhecidos conquanto não demonstrada a propriedade daquele. Até a existência de dano emergente, poderia ser concebida ainda que não provada a propriedade do veículo, pois bastaria que o autor, embora não proprietário, efetuasse despesas para recolocá-lo em condições de servir. - Assim sendo, não se justifica o indeferimento da inicial porque não instruída com os documentos comprobatórios da propriedade do veículo. Julgado em 26-06-1984 Arquivo do EMFOR, TA/595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ressarcimento de danos decorrentes de acidente de trânsito o que se discute é a existência de prejuízo concretamente sofrido pelo autor, questão que não se confunde necessariamente com a da propriedade do veículo.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2026-07-28T00:00:14.343Z</dcterms:created>
  <dcterms:modified xsi:type="dcterms:W3CDTF">2026-07-28T00:00:14.343Z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