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Julgado em: </w:t>
      </w:r>
      <w:r>
        <w:t xml:space="preserve">25/06/1984</w:t>
      </w:r>
    </w:p>
    <w:p/>
    <w:p>
      <w:r>
        <w:t xml:space="preserve">ACIDENTE DE TRÂNSITO — PROPRIEDADE DO VEÍCULO - FALTA DE PROVA - SE AUTORIZA O INDEFERIMENTO DA INICIAL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questão da propriedade do veículo dito do autor não se confunde com a da existência do dano, bastando pensar-se nos lucros cessantes alegadamente decorrentes da privação do uso do veículo, que poderiam, em tese, reconhecidos conquanto não demonstrada a propriedade daquele. Até a existência de dano emergente, poderia ser concebida ainda que não provada a propriedade do veículo, pois bastaria que o autor, embora não proprietário, efetuasse despesas para recolocá-lo em condições de servir. - Assim sendo, não se justifica o indeferimento da inicial porque não instruída com os documentos comprobatórios da propriedade do veículo. Julgado em 26-06-1984 Arquivo do EMFOR, TA/595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de ressarcimento de danos decorrentes de acidente de trânsito o que se discute é a existência de prejuízo concretamente sofrido pelo autor, questão que não se confunde necessariamente com a da propriedade do veículo.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2026-10-26T02:16:29.090Z</dcterms:created>
  <dcterms:modified xsi:type="dcterms:W3CDTF">2026-10-26T02:16:29.090Z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