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Julgado em: </w:t>
      </w:r>
      <w:r>
        <w:t xml:space="preserve">14/06/1984</w:t>
      </w:r>
    </w:p>
    <w:p/>
    <w:p>
      <w:r>
        <w:t xml:space="preserve">ACIDENTE DE TRANSPORTE — LEI DE ACIDENTES DO TRABALHO - CRITÉRIO - QUANDO NÃO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exequenda estabelecera que "do acidente automobilístico sofrido, por culpa exclusiva do preposto da apelante, fato incontestado nos autos, o apelado teve reduzida em 50% a sua capacidade funcional". - Evidentemente, não satisfaz ao assim decidido o mandar pagar a indenização pelo critério da lei de acidentes do trabalho, como fez o Acórdão recorrido. - Se, como parece certo, as conclusões do laudo pericial são inadequadas, porque levam em conta a situação peculiar do exequente como empregado da RFFSA, em que preferiu não optar pelo regime da CLT e, sim, permanecer no regime estatutário, então o caso seria de arbitrar, pelo rendimento líquido presumível de motorista, no mercado de trabalho normal, atentas as condições pessoais do autor, não derivadas do acidente, o valor da indenização a ser paga. - Vendo, na decisão recorrida, ofensa à coisa julgada, e, assim, contrariedade ao art. 153, § 3º da Constituição Federal conheço do recurso e lhe dou provimento, para que o cálculo da indenização se venha a arbitrar pelo critério da lei civil, e não da lei de acidentes do trabalho. Julgado em 15-06-1984 Revista Trimestral de Jurisprudência. Janeiro 1985 - Vol. 111 - Pág. 364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ações de Responsabilidade Civil, não há de ser fixada a indenização pelo critério da lei de acidentes do trabalho, mas por outro critério da lei civil, adequado à peculiaridade da espécie.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2026-07-28T01:54:16.553Z</dcterms:created>
  <dcterms:modified xsi:type="dcterms:W3CDTF">2026-07-28T01:54:16.553Z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