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24/03/1982</w:t>
      </w:r>
    </w:p>
    <w:p/>
    <w:p>
      <w:r>
        <w:t xml:space="preserve">PROPRIETÁRIO QUE NÃO FAZ O SEGURO — SUA RESPONSABILIDADE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assertiva da sentença de que o seguro de responsabilidade civil obrigatório foi instituído para beneficiar terceiros apresenta-se despicienda, uma vez que a alínea "c" da Resolução CNSP 23 de 17-11-76, dispõe que "no caso de morte do motorista, este será considerado como terceiro, quando o respectivo estiver coberto por seguro RCOVAT". - Diante dessa disposição, se a ré houvesse feito dito seguro, a autora teria recebido o respectivo valor. - Pela falta, pois há de responder a ré, já que a autora não pode ficar privada do recebimento por culpa da demandada. - O pagamento deverá ser feito pelo valor do salário-mínimo vigorante à data do acidente, corrigido o respectivo quantum pelos índices das ORTN. Julgado em 25-03-1982 Arquivo do EMFOR, TA/577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proprietário de veículo auto-motor, que não faz o seguro de responsabilidade civil obrigatório, responde à vítima ou aos seus beneficiários pela falta.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2026-07-28T00:21:18.102Z</dcterms:created>
  <dcterms:modified xsi:type="dcterms:W3CDTF">2026-07-28T00:21:18.102Z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