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09/05/1984</w:t>
      </w:r>
    </w:p>
    <w:p/>
    <w:p>
      <w:r>
        <w:t xml:space="preserve">CONVERSÃO — CONTRIBUIÇÃO PARA CRIAR E EDUCAR OS FILHOS - REQUISITO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ocorre em relação a pensão alimentícia do marido à mulher, nenhuma ressalva ou exceção a lei consagra. - A contribuição, como observa W. B. MONTEIRO, recai em ambos os genitores: quando permanecerem com a mãe, dever-se-á fixar o "quantum" com que concorrerá o pai para a mantença dos filhos ("Direito de Família", 1979, pág. 211). - Assim, igualmente julgou a C. 6ª Câmara Civil deste Tribunal, lembrando que a norma é cogente e, ainda, a lição de JOSÉ OLYMPIO C. FILHO em seu "Comentários ao Código de Processo Civil" (RJTJS 70/41). Julgado em 10-05-1984 Revista dos Tribunais. Fevereiro 1985 - Vol. 592 - Pág. 61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 a lei processual que o acordo da separação dos cônjuges deverá conter o valor da contribuição para criar e educar os filhos. Caberá ao Juiz verificar se a petição ou o pedido de conversão da separação judicial em separação consensual preenchem os requisitos exigidos, como dispõe o art. 1.122 do CPC, sob pena de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2026-09-11T01:30:50.233Z</dcterms:created>
  <dcterms:modified xsi:type="dcterms:W3CDTF">2026-09-11T01:30:50.233Z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