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09/05/1984</w:t>
      </w:r>
    </w:p>
    <w:p/>
    <w:p>
      <w:r>
        <w:t xml:space="preserve">CONVERSÃO — CONTRIBUIÇÃO PARA CRIAR E EDUCAR OS FILHOS - REQUISITO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ocorre em relação a pensão alimentícia do marido à mulher, nenhuma ressalva ou exceção a lei consagra. - A contribuição, como observa W. B. MONTEIRO, recai em ambos os genitores: quando permanecerem com a mãe, dever-se-á fixar o "quantum" com que concorrerá o pai para a mantença dos filhos ("Direito de Família", 1979, pág. 211). - Assim, igualmente julgou a C. 6ª Câmara Civil deste Tribunal, lembrando que a norma é cogente e, ainda, a lição de JOSÉ OLYMPIO C. FILHO em seu "Comentários ao Código de Processo Civil" (RJTJS 70/41). Julgado em 10-05-1984 Revista dos Tribunais. Fevereiro 1985 - Vol. 592 - Pág. 61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Estabelece a lei processual que o acordo da separação dos cônjuges deverá conter o valor da contribuição para criar e educar os filhos. Caberá ao Juiz verificar se a petição ou o pedido de conversão da separação judicial em separação consensual preenchem os requisitos exigidos, como dispõe o art. 1.122 do CPC, sob pena de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2026-07-28T00:21:46.361Z</dcterms:created>
  <dcterms:modified xsi:type="dcterms:W3CDTF">2026-07-28T00:21:46.361Z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