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>
      <w:r>
        <w:rPr>
          <w:b/>
          <w:bCs/>
        </w:rPr>
        <w:t xml:space="preserve">Julgado em: </w:t>
      </w:r>
      <w:r>
        <w:t xml:space="preserve">10/12/1984</w:t>
      </w:r>
    </w:p>
    <w:p/>
    <w:p>
      <w:r>
        <w:t xml:space="preserve">PROPRIETÁRIOS MAIORES — QUANDO SE DEFENDE A AUTORIZAÇÃO DE VENDA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Tal providência, longe de constituir um desrespeito à vontade do testado há de ser tida como em harmonia com a mesma pois não é de se presumir que sua intenção haja sido de causar embaraços aos herdeiros, mas apenas de protegê-los. - Na espécie o produto da venda será provisoriamente depositado em caderneta de poupança, sobre o que recairá o gravame, até que sejam adquiridos um ou mais imóveis em que se fará, em caráter definitivo, a sub-rogação. - É certo que a Lei 6.777/44 somente autoriza a sub-rogação em outro imóvel ou em apólice da Dívida Pública. - Todavia, à época em que foi editado aquele diploma, ainda não fora instituído o Sistema Nacional de Habilitação nem, conseqüentemente, as cadernetas de poupança que hoje representam investimento de maior rentabilidade e não maior segurança que os títulos da Dívida Pública em geral, como as ORTNs. Julgado em 11-12-1984 Arquivo do EMFOR, TJ/1.331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casos excepcionais, em que a manutenção do bem gravado com incomunicabilidade, inalienabilidade e impenhorabilidade mostra-se conflitante com os interesses dos proprietários, todos maiores, é possível ao Juiz autorizar a venda sub-rogando-se o gravame, provisoriamente, sobre o preço a ser depositado em caderneta de poupança até que seja transferido para bem imóvel a ser adquirido.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2026-10-26T04:18:20.103Z</dcterms:created>
  <dcterms:modified xsi:type="dcterms:W3CDTF">2026-10-26T04:18:20.103Z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