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SEGURO OBRIGATÓRIO</w:t>
      </w:r>
    </w:p>
    <w:p/>
    <w:p>
      <w:r>
        <w:rPr>
          <w:b/>
          <w:bCs/>
        </w:rPr>
        <w:t xml:space="preserve">Julgado em: </w:t>
      </w:r>
      <w:r>
        <w:t xml:space="preserve">19/04/1982</w:t>
      </w:r>
    </w:p>
    <w:p/>
    <w:p>
      <w:r>
        <w:t xml:space="preserve">EMISSÃO COMO PROMESSA DE PAGAMENTO — QUANDO DESNATURA O TÍTULO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cheque é uma ordem de pagamento à vista e não promessa de pagamento. Esta é a sua característica primacial, pelo menos no direito brasileiro. - Se é documento com declaração de pagamento a prazo, não é cheque. - CUNHA PEIXOTO afirma: "No Brasil um título, nessas condições, não pode ser considerado cheque, já que é da essência desse título ser pago à vista" (in "O Cheque", vol. I, 2ª ed., pág. 289). No caso dos autos, os cheques são pós-datados, apresentando-se, assim, desnaturados. Não se tratando de cheques, porque desnaturados, a lei não atribui a eficácia de título executivo. - A condenação em danos somente ocorre quando a sentença declarar inexistente, no todo ou em parte, a obrigação que deu lugar à execução o que não acontece na espécie, eis que apenas se reconheceu faltar aos títulos eficácia executiva. Julgado em 20-04-1982 Arquivo do EMFOR, TA/589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emissão de vários cheques como promessa de pagamento e sem data de emissão a ser preenchida pelo portador a seu critério, e sucessivamente, desnatura o título e, em conseqüência, não tem eficácia de título executivo.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2026-07-27T23:53:13.883Z</dcterms:created>
  <dcterms:modified xsi:type="dcterms:W3CDTF">2026-07-27T23:53:13.883Z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