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07/05/1984</w:t>
      </w:r>
    </w:p>
    <w:p/>
    <w:p>
      <w:r>
        <w:t xml:space="preserve">ATRIBUIÇÃO DO ADMINISTRADOR E DO SÍNDICO -
QUANDO SE TORNA OBRIGATÓRIO O SEU CHAMAMENTO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Note-se, porém, que, no caso de sentença favorável, os credores teriam reduzida, substancialmente, a garantia que os bens representam sem que houvessem tido oportunidade de os defender. Não podem, pois, ficar alheios à relação processual, sob pena de a sentença favorável os não alcançar. - Tal como no processo falimentar é indispensável a citação do administrador. Num como noutro processo o devedor perde o poder de administrar e de dispor de seus bens como consequência da sentença (Lei de Falências, art. 40; CPC, art. 752). - O síndico e o administrador constituem, sabidamente, órgãos da massa de credores, com a missão precípua de lhes gerir os interesses, dentre os quais avulta o da defesa dos bens arrecadados onde, afinal, repousa a garantia comum dos credores. Se outrem os reclama, no todo ou em parte, impõe-se o chamamento do administrador. Porque os bens são garantia comum dos credores, é evidente o conflito de interesses surto entre eles e o terceiro embargante. - A lide não poderá ser decidida "de modo uniforme, para todas as partes" (CPC, art. 47) se uma delas estiver fora da relação jurídica processual. Julgado em 08-05-1984 Arquivo do Ementário Forense, TJ/1.289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administrador e o Síndico são órgãos da massa de credores com a missão primacial de lhes gerir interesses, dentre os quais avulta o da defesa dos bens do devedor, onde, afinal, repousa a garantia comum. Se outrem os reclama, no todo ou em parte, impõe-se obrigatório o chamamento do administrador sem cuja presença, na relação jurídica processual, a lide não poderá ser decidida, "de modo uniforme, para todas as partes" (CPC, art. 47).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2026-10-26T04:19:18.314Z</dcterms:created>
  <dcterms:modified xsi:type="dcterms:W3CDTF">2026-10-26T04:19:18.314Z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