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06/10/1981</w:t>
      </w:r>
    </w:p>
    <w:p/>
    <w:p>
      <w:r>
        <w:t xml:space="preserve">INCLUSÃO A PARTIR DA DATA EM QUE ENTROU EM VIGOR A LEI QUE A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Prefeitura Municipal saiu vencedora na ação rescisória que lhe foi movida, arbitrando-se os honorários de seu Procurador em 10% sobre o valor da causa, em decisão datada de 18 de março do corrente ano. - Referido valor é o de Cr$30.000,00 (trinta mil cruzeiros), sendo que a propositura da ação remonta aos idos de 30 de março de 1978. - A correção monetária dos referidos honorários é de ser deferida, mas somente a partir de 8 de abril deste ano, "quando entrou em vigor a Lei nº 6.899, da mesma data, tomando-se por base a variação nominal das ORTNs, nos termos da Lei nº 6.423/77", como despachou o Presidente do Supremo Tribunal Federal ("DJU", de 31.08.81). - Assim, determino a reforma do cálculo da liquidação, nos termos anteriormente enunciados. VENCIDOS OS DESEMBARGADORES FREITAS TEIXEIRA, FERNANDES FILHO, MONTEIRO DE BARROS, COSTA VAL e PAULO GONÇALVES. VENCIDO EM PARTE O DESEMBARGADOR WALTER MACHADO, que concedia a correção monetária de maneira ampla. Julgado em 07-10-1981 Jurisprudência Mineira, Vol. 84 - Pág. 21 N. da R.: V. também o st. CAUSAS PENDENTES DE JULGAMENTO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deve ser incluída na execução de sentença a partir da data em que entrou em vigor a Lei 6.899/81, tomando-se por base a variação nominal das ORTNs.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2026-07-27T23:54:45.017Z</dcterms:created>
  <dcterms:modified xsi:type="dcterms:W3CDTF">2026-07-27T23:54:45.017Z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