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25/08/1983</w:t>
      </w:r>
    </w:p>
    <w:p/>
    <w:p>
      <w:r>
        <w:t xml:space="preserve">REAVALIAÇÃO ADICIONAL DE IMÓVEIS -
CORREÇÃO MONETÁRIA APÓS PAGAMENTO DE PRESTAÇÕES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é de ser mantido. - Diz o art. 15 do Decreto-lei nº 401-68, de 30-12-68, "verbis": "Até 30 de junho de 1969, as pessoas jurídicas poderão atualizar, além dos limites de correção monetária o valor dos terrenos e construções constantes do seu ativo imobilizado, desde que recolham, tão somente, o imposto na fonte de 15% (quinze por cento), sobre a reavaliação adicional assim efetuada, o qual poderá ser pago, parceladamente, a requerimento do interessado, nos termos das normas em vigor". - A impetrante promoveu a reavaliação do seu ativo e obteve o parcelamento do valor do imposto, parcelamento esse quer começou a pagar até, após a nona prestação, lhe foi exigido acréscimo de juros e correção monetária, contra o que ela se insurgiu vindo a Juízo e obtendo ganho de causa. - A questão foi, a meu ver, excelentemente posta no v. acórdão que encontrou fundamentação na r. sentença para a concessão - tal como ocorreu - fosse concedida em parte, exatamente a fim de que não incidissem aqueles ônus sobre o saldo a ser liquidado. - Para não me alongar, e ante os limites frente aos quais deve ser examinado o recurso extraordinário, pois o argumento que o alicerça é, tão somente, o de negativa de vigência do artigo 111 III, do CTN, bem como do "caput" do art. 15 do Decreto-lei nº 401-68, é suficiente que se veja o seguinte: o caput do art. 15 do Decreto-lei nº 401, de 30-12-68, admite expressamente que o imposto poderá ser pago, parceladamente, a requerimento do interessado, nos termos das normas em vigor. - Ora, as normas da repartição fazendária estipulando a correção monetária, no caso de parcelamento previsto no preceito legal referido, são de 25 de maio de 1969, pois foram baixados com a Portaria nº 594 daquela data. Quando a lei, portanto, foi promulgada, a portaria não estava em vigor. Não seria portaria, deste modo, que formularia exigência de tal natureza. E não havia lei que determinasse, no caso de parcelamento, como regra geral, a correção monetária, firmando-se mesmo o entendimento jurisprudencial, com relação até mesmo a débitos, na aplicação do Decreto-lei nº 352-68, que ao dispor o seu art. 1º que as prestações seriam iguais, importava isso que, consolidada a dívida no momento da concessão do parcelamento, daí em diante as prestações não sofreriam a incidência da correção monetária. - No caso, o que pretende o recorrente é que, a par de negativa de vigência do "caput" do art. 15 do Decreto-lei nº 401, o que não ocorreu, como se viu, igualmente se considere ter havido negativa de vigência do art. 111, III, do CTN, segundo o qual interpreta-se literalmente a legislação tributária que disponha sobre dispensa do cumprimento de obrigações acessórias. Mas o que aqui ocorre é que não há lei dando respaldo à pretensão fiscal. - Pelo exposto não conheço do recurso. - É o meu voto. Julgado em 26-08-1983 Revista Trimestral de Jurisprudência. Março, 1984 - Vol. 107 - Pág. 995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obtido a recorrida parcelamento para pagamento do imposto de renda, em decorrência de reavaliação adicional de terreno e construções do seu ativo imobilizado, incabível exigência posterior de pagamento de correção monetária, quando já liquidadas várias prestações. - Alegação única de negativa de vigência do artigo 111, III, do Código Tributário Nacional, bem como do "caput" do artigo 15 do Decreto-lei 401-68: improcedência.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2026-10-26T03:24:03.410Z</dcterms:created>
  <dcterms:modified xsi:type="dcterms:W3CDTF">2026-10-26T03:24:03.410Z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