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08/11/1981</w:t>
      </w:r>
    </w:p>
    <w:p/>
    <w:p>
      <w:r>
        <w:t xml:space="preserve">PERDA DE OBJETO DO PEDIDO — EXTINÇÃO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bem salientou o douto Procurador da Justiça, ... a sentença proferida pelo Juiz... é benemérita de integral confirmação, por seus próprios e jurídicos fundamentos. - Não há possibilidade de se dar seguimento ao processo de interdição, em face do falecimento daquele cuja interdição era pedida, logo a extinção do processo se impunha por força do que dispõe o art. 267, IX, do CPC. - O art. 1.572, do CC, dispõe que "aberta a sucessão, o domínio e a posse da herança transmitem-se, desde logo, aos herdeiros legítimos e testamentários". - Herdeiros ou interessados que pretenderem, em via própria, alegar qualquer nulidade de atos praticados pelo falecido,..., terão que produzir provas no Juízo contencioso, não podendo dar-se seguimento ao procedimento de interdição, em face do óbito do mesmo, pela irmã que pretendia ver declarada a interdição do irmão. - Negaram provimento à apelação. Julgado em 09-11-1981 Jurisprudência Mineira - Vol. 84 - Pág. 56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falecimento, antes da sentença, daquele cuja interdição era requerida, torna-se sem objeto a súplica inicial, pelo que o processo deverá ser julgado extinto. - Os herdeiros ou interessados que pretenderem alegar qualquer nulidade de atos praticados pelo falecido, ligados à sua suposta incapacidade, deverão deduzir suas respectivas pretensões em procedimentos próprios, no Juízo contencioso.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2026-10-26T04:36:53.412Z</dcterms:created>
  <dcterms:modified xsi:type="dcterms:W3CDTF">2026-10-26T04:36:53.412Z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