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Julgado em: </w:t>
      </w:r>
      <w:r>
        <w:t xml:space="preserve">25/08/1983</w:t>
      </w:r>
    </w:p>
    <w:p/>
    <w:p>
      <w:r>
        <w:t xml:space="preserve">CITAÇÃO EM PROCESSO EXTINTO — QUANDO NÃO TEM TAL EFEITO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argumentação desenvolvida pelo agravante improcede de todo em todo. Que a prescrição se interrompa pela citação feita ao devedor, coisa é que ninguém discute, porque é princípio consagrado no direito brasileiro (Código Tributário Nacional, art. 174, I; Código Civil, art. 172, I; Código de Processo Civil, art. 219). Mas não é este o problema. - Houve duas execuções. A primeira, fundada em crédito tributário julgado pelo Conselho de Contribuintes em 26-10-75, interrompeu a prescrição quinquenal (Código Tributário Nacional, art. 174, I); mas a fazenda exequente foi julgada carecedora e o processo extinto, sem julgamento de mérito. A segunda execução, na qual o devedor foi citado a 12 de dezembro de 1980, foi ajuizada quando já tinha escoado o prazo prescricional. - O que pretende o agravante é que a primeira citação, feita no processo que se extinguiu sem julgamento do mérito tenha a força de interromper a prescrição em relação ao segundo processo. Ora, entende-se por válida a citação que se realizou em processo que flui e não em processo que terminou. A citação é chamamento para cada processo que se inicia e não para os processos que estão ainda "in mente dei". - Ante o exposto, nego provimento ao agravo regimental. - É o meu voto. Julgado em 26-08-1983 Revista Trimestral de Jurisprudência. Junho, 1984 - Vol. 108 - Pág. 1.105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aproveita citação feita em processo extinto sem julgamento de mérito para efeito de interrupção de prescrição numa segunda execução.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2026-07-28T01:54:39.292Z</dcterms:created>
  <dcterms:modified xsi:type="dcterms:W3CDTF">2026-07-28T01:54:39.292Z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