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78.818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ANTÔNIO NEDER</w:t>
      </w:r>
    </w:p>
    <w:p>
      <w:r>
        <w:rPr>
          <w:b/>
          <w:bCs/>
        </w:rPr>
        <w:t xml:space="preserve">Julgado em: </w:t>
      </w:r>
      <w:r>
        <w:t xml:space="preserve">12/04/1983</w:t>
      </w:r>
    </w:p>
    <w:p/>
    <w:p>
      <w:r>
        <w:t xml:space="preserve">INCIDÊNCIA SOBRE SERVIÇOS DESTES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entendido esta Eg. Corte que sobre as diversas operações bancárias não incide o Imposto sobre serviços, pois não contempladas na listagem do Decreto-lei nº 406/68, com a nova redação do Decreto-lei nº 834/69. - No RE nº 78.818 - BA cujo Relator foi o saudoso e eminente Ministro ALIOMAR BALEEIRO, ficou dito: "porque sujeitos à tributação federal, não estão as comissões e taxas de desconto cobradas pelos estabelecimentos bancários, ao imposto sobre serviços (ISS)" (RTJ 73/911). Em outro aresto, também prevalecente o voto do eminente Min. ALIOMAR BALEEIRO, fixou-se "A jurisprudência do STF já assentou, por vezes, que não é legítimo o imposto municipal de serviços sobre operações bancárias, desde a Emenda 18 e a CF de 1967". (RTJ 73/490). No mesmo sentido RE nº 63.478 - BA, Rel. Ministro ANTÔNIO NEDER (RTJ 99/663). - Por outro lado, a jurisprudência do Supremo Tribunal Federal reputa taxativa a listagem do Decreto-lei nº 834/69 não podendo ser ampliada por força da analogia, conforme o art. 97 do Código Tributário Nacional (RE nº 78.927, da 1ª Turma, em sessão de 23-08-74). - A cobrança do ISS sobre serviços bancários é aquela do item 22 da Lista. Exigir o imposto fora dessa listagem, ou desse item específico da Lista, contraria o art. 19, I, da Constituição da República. - Todavia, o imposto pode ser exigido apenas quanto aos serviços de cobrança, pois estes não tem caráter ou natureza exclusiva de serviços bancários. - Dessarte, conheço em parte e para isso dou provimento ao presente recurso, para isentar o recorrente dos impostos exigid os pela Prefeitura de Curitiba visto que os serviços por aquele prestados se enquadram no âmbito do poder tributante da União. Fica, no entanto, ressalvado o direito da Prefeitura exigir o imposto relativo à cobrança de títulos. - É o meu voto. Julgado em 13-04-1983 Revista Trimestral de Jurisprudência, Dezembro, 1983 - Vol. 106 - Pág. 1099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Prefeitura exigir o ISS sobre serviços bancários relativos a "outras cobranças", "transferência de fundos", "custódia", "ressarcimento de custo de cheques" e "diversos", não definidos na lista do Decreto-lei nº 834/69, porque os serviços, prestados pelo Banco, se enquadram no âmbito da competência tributária da União.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2026-07-28T00:21:14.121Z</dcterms:created>
  <dcterms:modified xsi:type="dcterms:W3CDTF">2026-07-28T00:21:14.121Z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