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09/04/1984</w:t>
      </w:r>
    </w:p>
    <w:p/>
    <w:p>
      <w:r>
        <w:t xml:space="preserve">CONDENAÇÃO EM MOEDA BRASILEIRA CORRESPONDENTE — QUANDO NÃO AFRONTA A LEI 6.899/81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Dr. Juiz excluiu expressamente a incidência da correção monetária sobre os honorários advocatícios fixados em 15% do valor inicial atribuído à causa. Ora, todos sabemos que é aplicável a correção monetária sobre qualquer dívida decorrente de decisão judicial, inclusive sobre as custas judiciais e honorários de advogado (Lei nº 6.899/81). Hoje, judicialmente, inexistem honorários advocatícios sem correção monetária. - Quanto ao mais, e voltando ao !º apelo, não afronta a Lei 6.899/81 e seu Regulamento, a sentença que manda pagar, em cruzeiros, quantia correspondente em dólares à taxa do câmbio do dia do pagamento, quando se trata de indenizar valor de mercadoria estrangeira extraviada e que foi paga em dólares. Julgado em 10-04-1984 Arquivo do Ementário Forense. TJ/1.200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afronta Lei nº 6.899/81 e seu Regulamento, a sentença que manda pagar, em cruzeiros, quantia correspondente em dólares à taxa de câmbio do dia do pagamento, quando se tratar de indenizar valor de mercadoria estrangeira extraviada. A correção monetária incide sobre custas e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2026-10-26T03:25:07.191Z</dcterms:created>
  <dcterms:modified xsi:type="dcterms:W3CDTF">2026-10-26T03:25:07.191Z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