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09/04/1984</w:t>
      </w:r>
    </w:p>
    <w:p/>
    <w:p>
      <w:r>
        <w:t xml:space="preserve">CONDENAÇÃO EM MOEDA BRASILEIRA CORRESPONDENTE — QUANDO NÃO AFRONTA A LEI 6.899/81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ilustre Dr. Juiz excluiu expressamente a incidência da correção monetária sobre os honorários advocatícios fixados em 15% do valor inicial atribuído à causa. Ora, todos sabemos que é aplicável a correção monetária sobre qualquer dívida decorrente de decisão judicial, inclusive sobre as custas judiciais e honorários de advogado (Lei nº 6.899/81). Hoje, judicialmente, inexistem honorários advocatícios sem correção monetária. - Quanto ao mais, e voltando ao !º apelo, não afronta a Lei 6.899/81 e seu Regulamento, a sentença que manda pagar, em cruzeiros, quantia correspondente em dólares à taxa do câmbio do dia do pagamento, quando se trata de indenizar valor de mercadoria estrangeira extraviada e que foi paga em dólares. Julgado em 10-04-1984 Arquivo do Ementário Forense. TJ/1.200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afronta Lei nº 6.899/81 e seu Regulamento, a sentença que manda pagar, em cruzeiros, quantia correspondente em dólares à taxa de câmbio do dia do pagamento, quando se tratar de indenizar valor de mercadoria estrangeira extraviada. A correção monetária incide sobre custas e honorários advocatícios.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2026-07-28T00:21:39.622Z</dcterms:created>
  <dcterms:modified xsi:type="dcterms:W3CDTF">2026-07-28T00:21:39.622Z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