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14/03/1983</w:t>
      </w:r>
    </w:p>
    <w:p/>
    <w:p>
      <w:r>
        <w:t xml:space="preserve">PREFERÊNCIA DO INDICADO PELO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agravado inadmitiu a indicação pelo agravante do advogado que deveria assistí-lo no patrocínio da causa a ser proposta, remetendo-o à Assistência Judiciária, e consoante se vê do despacho de sustentação da decisão agravada, seu ilustre prolator invocou orientação da Corregedoria Geral da Justiça a propósito do assunto. - Merece provimento o agravo. - A Lei nº 1.060, de 1950, que regula a concessão de assistência judiciária aos necessitados, no § 4º do art. 5, dá ao advogado indicado pelo beneficiário e que declare aceitar o encargo, prioridade absoluta para o patrocínio da causa. Pouco importa a existência de assistência judiciária, pois não se pode subtrair ao interessado o direito de escolher advogado de sua confiança. - Anote-se que a orientação da Corregedoria Geral da Justiça, invocada pelo despacho agravado, foi inteiramente afastada, com a revogação do provimento que a continha. Julgado em 15-03-1983 Arquivo do Ementário Forense, TA/450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Pouco importando a existência de assistência judiciária, o advogado indicado pelo beneficiário e que declare aceitar o encargo tem prioridade absoluta para o patrocínio da causa.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2026-07-28T04:29:31.712Z</dcterms:created>
  <dcterms:modified xsi:type="dcterms:W3CDTF">2026-07-28T04:29:31.712Z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