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21/06/1983</w:t>
      </w:r>
    </w:p>
    <w:p/>
    <w:p>
      <w:r>
        <w:t xml:space="preserve">DIREITO DO LOCADOR A RECEBÊ-LA EM RESTITUIÇÃO FINDO O PRAZO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Dúvida não há de que a banca de jornais e revistas, objeto da ação, é de propriedade da autora e fora alugada ao réu, por prazo certo, com término da locação em 31-05-1982, conforme prova do contrato... Além de haver terminado o prazo da locação, a autora ainda teve a lisura de notificar o réu, por carta, manifestando o desejo de não renovar o contrato, por não mais lhe convir continuar com a locação (...). - O fato de ter sido a ação proposta como se fosse "ação de despejo", é de somenos importância, vez que no curso do processo o Juiz determinou sua retificação para "ação ordinária" e "assim prosseguiu até final do julgamento. - É de considerar-se, ainda, que em nenhuma oportunidade a autora fez referência à lei do inquilinato, mas ao contrário, na petição..., invocou em seu favor o disposto no art. 1.192, inciso IV, do Código Civil, que se refere à locação de coisas e estatui, expressamente, que o locatário é obrigado a restituir a coisa, finda a locação, no estado em que a recebeu". - Não há, assim, como deixar-se de confirmar a sentença, pois bem ressaltou o douto Juiz "a quo" e conforme estatui o art. 1.194 do Código Civil, "a locação por tempo determinado cessa de pleno direito findo o prazo estipulado independentemente de notificação ou aviso. - Pelos motivos expostos, nega-se provimento ao recurso. Julgado em 22-06-1983 Arquivo do Ementário Forense, TA/452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locador de Banca de Jornais e Revistas é lícito pleitear a restituição da mesma, após findo o prazo da locação, já que a locação da coisa por tempo determinado cessa, de pleno direito, findo o prazo estipulado, independentemente da notificação ou aviso (artigo 1.194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2026-10-26T03:09:42.138Z</dcterms:created>
  <dcterms:modified xsi:type="dcterms:W3CDTF">2026-10-26T03:09:42.138Z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