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11/04/1983</w:t>
      </w:r>
    </w:p>
    <w:p/>
    <w:p>
      <w:r>
        <w:t xml:space="preserve">CORREÇÃO MONETÁRIA DE DIFERENÇA DE ALUGUÉIS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agravante que a diferença de aluguéis resultantes da fixação de novo aluguel na ação renovatória, seja acrescida da correção monetária da Lei nº 6.899/81, para efeito da execução da decisão que julgou tal ação. - Tal pretensão não tem amparo legal, pois a sentença que decreta a renovação do contrato de locação não é sentença condenatória. É típica decisão de ação constitutiva, cujos efeitos se esgotam ao declarar os novos níveis de aluguéis. Nela não se cogita e nem é incluída a condenação do locatário ao pagamento de qualquer quantia, salvo de custas e, eventualmente, de honorários advocatícios, integrantes de qualquer espécie de sentença. - A aplicação da Lei nº 6.899/81 só pode ter lugar, na espécie, no tocante às custas e honorários que, aliás, não foram abonadas ao agravante, mas ao agravado. Julgado em 12-04-1983 Arquivo do Ementário Forense, TA/453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que julga a ação renovatória é de natureza constitutiva, sendo sua carga condenatória restrita às custas e honorários. Descabe, portanto, pretendida correção monetária da diferença de aluguéis resultantes da fixação de novo aluguel na ação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2026-10-26T04:40:30.112Z</dcterms:created>
  <dcterms:modified xsi:type="dcterms:W3CDTF">2026-10-26T04:40:30.112Z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