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15/08/1983</w:t>
      </w:r>
    </w:p>
    <w:p/>
    <w:p>
      <w:r>
        <w:t xml:space="preserve">MAIORES COM ECONOMIA PRÓPRIA -
INDENIZAÇÃO POR DANO MORAL E NÃO PATRIMONIAL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o art. 159 do Código Civil ao estipular a obrigação de indenizar não distingue entre a natureza do dano e onde a lei não distingue lícito não cabe ao intérprete distingui-la. - Ademais o art. 76 do mesmo diploma legal estatui que para propor ação é necessário legítimo interesse econômico ou moral, positivando que não apenas o interesse patrimonial é indenizável. - Aliás em recentíssimo encontro de magistrados, realizado em Belo Horizonte, foi aprovada a tese favorável ao ressarcimento do dano moral. - Tratando-se de filhos e pessoas normais, presume-se uma dor pela morte de sua mãe. - Assim, cabe o ressarcimento por este dano, sendo que, na espécie, inexiste até cumulação com o dano patrimonial, cumulação esta que, para alguns, constitui impedimento para seu ressarcimento. - Sendo vários autores a sua fixação é feita na base de vinte salários mínimos do momento do pagamento. - Reconhecida a procedência parcial da ação cabe verba honorária fixada em 10%. Julgado em 16-08-1983 Arquivo do Ementário Forense, TA/457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filhos maiores e com economia própria descabe indenização por dano patrimonial em razão da morte da mãe. - Cabe indenização por dano moral em virtude do mesmo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2026-07-28T00:38:48.313Z</dcterms:created>
  <dcterms:modified xsi:type="dcterms:W3CDTF">2026-07-28T00:38:48.313Z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