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FURTO DE VEÍCULO</w:t>
      </w:r>
    </w:p>
    <w:p/>
    <w:p/>
    <w:p>
      <w:r>
        <w:t xml:space="preserve">FURTO DE VEÍCULO — QUANDO DEVE SER PELO VALOR DA APÓLICE E NÃO PELO VALOR DE MERCADO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 - Quanto ao pagamento da indenização recebendo a seguradora o prêmio pela cobertura total do sinistro não há que se falar em indenização correspondente ao valor da cotação média do veículo à época do furto, quando existe na apólice cláusula expressa do valor segurado, ou de qualquer outro procedimento a autorizar a redução da indenização como pretende a recorrente, por ausência de amparo legal. - Resumindo, a indenização decorrente de furto ou roubo de veículo segurado deve corresponder à importância constante da apólice de seguro, interpretando-se em favor do segurado as cláusulas contratuais cuja redação seja obscura e imprecisa, de modo a dificultar sua compreensão, posicionamento que se encontra amparado pelo disposto nos arts. 46 e 47 do CDC (Lei 8.078/90). - ............................................................................................. - Por tais razões, nega-se provimento ao recurso. Ac. de 12-08-1998 Revista dos Tribunais, Dezembro de 1998 - Vol. 758 - Pág. 211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inexiste cláusula expressa no contrato de seguro, o valor a ser pago a título de indenização deve corresponder ao estabelecido na apólice e não ao valor da cotação média do veículo à época do furto, pois as cláusulas cuja redação seja obscura e imprecisa devem ser interpretadas em favor do segurado, nos termos dos arts. 46 e 47 da Lei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2026-10-26T03:26:20.502Z</dcterms:created>
  <dcterms:modified xsi:type="dcterms:W3CDTF">2026-10-26T03:26:20.502Z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