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FURTO DE VEÍCULO</w:t>
      </w:r>
    </w:p>
    <w:p/>
    <w:p/>
    <w:p>
      <w:r>
        <w:t xml:space="preserve">ACIDENTE DE TRÂNSITO — DANOS DECORRENTES - CLÁUSULA QUE PREVÊ A EXCLUSÃO DA RESPONSABILIDADE DA SEGURADORA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de apelação manejado por Real Seguros S.A. contra a r. sentença de primeiro grau que, julgando procedente o pedido, condenou a apelante ao pagamento dos danos causados no sinistro noticiado na exordial. - Como razões para reforma do decisum, alega a apelante que consta do contrato celebrado entre as partes a exclusão da responsabilidade da seguradora em ressarcir eventuais danos em caso de entrega do veículo segurado a pessoa não habilitada, e este é o caso dos autos, em que a filha do contratante, comprovadamente, deu ensejo ao evento danoso. - Alega ainda que a permissão de que trata a cláusula extintiva de responsabilidade não exige a autorização expressa, conforme entendeu a douta sentença recorrida. - Recebido e contra-arrazoado o recurso, vieram os autos a este Tribunal para decisão. DO VOTO - Em que pese a bem fundamentada decisão da douta Juíza a quo, penso que a apelação manejada pela companhia seguradora está a merecer acolhimento. - Há que se ter em mente que o cerne da demanda constitui-se na responsabilidade civil do pai em relação aos filhos menores na ocasião da colisão, frente à cláusula excludente de responsabilidade de pagamento expressa no contrato de seguro celebrado entre as partes. - Não há discussão no que tange a quem deu ensejo ao evento danoso, pois que o própr io autor admite que a causa do sinistro foi efetivamente a imperícia da condutora do veículo ao efetuar uma conversão à direita, ocasião em que veio a se chocar com o muro de uma loja, causando os danos descritos na inicial e ferimentos na condutora. - A argumentação expendida pelo apelado de que em nenhum momento permitiu à filha a condução do veículo esbarra na questão da responsabilidade deste com relação aos atos daquela. - Ensina MARIA HELENA DINIZ, em "Curso de Direito Civil brasileiro - responsabilidade civil", Saraiva, 1990, 7.o v., p. 342-343, que: "Quem exerce o pátrio poder responderá pelos atos do filho menor que estiver em seu poder e em sua companhia (CC, art. 1.521, I), pois, como tem a obrigação de dirigir a sua educação, deverá sobre ele exercer vigilância (RJTJSP 41/121). Assim sendo, para que se configurar tal responsabilidade, será mister que: ... d) Os pais sejam negligentes na vigilância, isto é, incorram em culpa in vigilando, que se presume havendo a inversão do onus probandi (RT 490/89), incumbindo aos pais provar que cumpriram o dever de vigilância para se livrarem da responsabilidade". - Neste aspecto também se orienta a jurisprudência, como se vê do acórdão lavrado pelo também ilustre Juiz e hoje Desembargador Lopes Noronha na ApCiv 55.757-9, de Londrina, com a seguinte ementa, que, mutatis mutandis, se aplica ao caso vertente: "Acidente de trânsito - Menor - Responsabilidade solidária do genitor. Provada culpa do menor que provocou o acidente por desobedecer sinal fechado e configurada a falta de zelo do pai, relativamente ao comportamento do filho menor, é de rigor a confirmação da sentença que condenou ambos a indenizar os prejuízos causados à vítima". - Assim, acolhida a responsabilidade do pai do menor pelos atos praticados pelo filho, em decorrência da sua falha vigilância, mister que seja aplicada a cláusula de exclusão de responsabilidade de pagamento da seguradora (Cl. 13.1.13). - Ressalte-se ainda que a aceitação da responsabilidade do proprietário do veículo no evento, senão diretamente, pelo menos com o deszelo na guarda das chaves, eis que pai de filha adolescente, idade em que é notória a sua capacidade de desrespeitar ordens e orientação, mais ainda quando se trata de utilização de automóveis. - Agiu, portanto, com desídia ao permitir o acesso às chaves de seu automóvel, contribuindo então para o evento, de modo a incidir a cláusula de exoneração da responsabilidade da seguradora. - Na lição de AGUIAR DIAS, "o dever jurídico de cuidar das coisas que usamos se funda em superiores razões de política social, que induzem, por um ou outro fundamento, à presunção de causalidade de quem se convencionou chamar o `guardião' da coisa, para significar o encarregado dos riscos dela decorrentes" ("Da Responsabilidade Civil", v. II, p. 12). - Segundo JEAN LEIBMAN, citado por AGUIAR DIAS na obra retromencionada, "o guardião é responsável, não em virtude do ilusório poder de direção, mas porque, tirando proveito da coisa, deve, em compensação, suportar-lhe os riscos". "O fato é que o automóvel, na sociedade atual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que pese a negativa por parte do pai, contratante do seguro, de que tenha permitido à filha menor a condução do veículo segurado, provada a culpa desta menor, que se encontra sob o poder e vigilância de seu genitor, este é responsável pelos danos decorrentes do uso indevido do automóvel, ainda que à sua revelia, desde que se trate de pessoa a quem ele permitia o acesso ao carro ou ao local em que guardava as chaves, dando ensejo à aplicação da cláusula de exclusão de responsabilidade de indenização do sinistro pela companhia seguradora.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2026-07-28T00:23:09.265Z</dcterms:created>
  <dcterms:modified xsi:type="dcterms:W3CDTF">2026-07-28T00:23:09.265Z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