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>
      <w:r>
        <w:rPr>
          <w:b/>
          <w:bCs/>
        </w:rPr>
        <w:t xml:space="preserve">Recurso: </w:t>
      </w:r>
      <w:r>
        <w:t xml:space="preserve">Recurso Especial 1.772</w:t>
      </w:r>
    </w:p>
    <w:p/>
    <w:p>
      <w:r>
        <w:t xml:space="preserve">VINCULAÇÃO A CONTRATO — SE PERDE A SUA EXECUTORIEDADE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Também a jurisprudência esposa o entendimento acima, eis que, em voto que proferi como relator do Recurso Especial nº 1.772 - RS, de 20-2-90, em julgamento unânime, ficou assente que "á nota promissória emitida a favor de estabelecimento de crédito como garantia de concessão de empréstimo ou abertura de crédito, não perde a executoriedade derivada de sua liquidez e certeza" (tópico II da ementa). - E no que pertine, proferiu os lineamentos assim consignados naquele órgão: "O acórdão impugnado bem aplicou o direito à espécie, pois que, mesmo tratando-se de abertura de crédito, não se teria inexecutável a cambial em referência ao argumento de sua vinculação. - A uma, porque a doutrina e o entendimento pretoriano realçam sua autonomia a executoriedade ostentando sua eficácia no direito material que a regula quanto à sua constituição e formalidades extrínsecas, dadas como cumpridas e reiteradas pela sentença afirmativa de inexistir, nos autos, qualquer evidência em sentido contrário." Ac. de 29-06-1990 Revista do Sup. Tribunal de Justiça - Outubro, 1991 - Nº 26 - Pág. 343. EMFOR 528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Doutrina se assentou em que a autonomia da nota promissória não se abala pelo fato de estar presa a contrato. Assim, não se teria inexecutável a cambial ao argumento de que esta esteja presa a contrato de abertura de crédito, eis que também o entendimento pretoriano realça a sua autonomia e executoriedade, ostentando sua eficácia no direito material que regula quanto à sua constituição e formalidades extrínsecas.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2026-07-28T02:29:29.502Z</dcterms:created>
  <dcterms:modified xsi:type="dcterms:W3CDTF">2026-07-28T02:29:29.502Z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