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INSTITUTO DE RESSEGUROS DO BRASIL</w:t>
      </w:r>
    </w:p>
    <w:p/>
    <w:p>
      <w:r>
        <w:rPr>
          <w:b/>
          <w:bCs/>
        </w:rPr>
        <w:t xml:space="preserve">Recurso: </w:t>
      </w:r>
      <w:r>
        <w:t xml:space="preserve">REsp 12.088/</w:t>
      </w:r>
    </w:p>
    <w:p/>
    <w:p>
      <w:r>
        <w:t xml:space="preserve">INDISTINÇÃO ENTRE OS FILHOS HAVIDOS OU NÃO DA RELAÇÃO DO CASAMENTO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Da decisão que excluiu herdeiros nos autos do inventário, agravaram o espólio e as filhas adotivas. - "................................................................................. O Tribunal de Justiça do Rio de Janeiro, sob a relatoria do Des. MARTINHO CAMPOS, não conheceu do recurso do espólio e, negando provimento ao apelo das filhas do "de cujus", lançou no acórdão a seguinte ementa: "ADOÇÃO. I - Sucessão aberta em 1974 quando vigente o art. 377 do Código Civil que excluía da sucessão os filhos adotivos se à adoção preexistia filho legítimo. II - O art. 227, § 6º da Constituição de 1988 não se aplica à sucessão aberta em 1974 porque aberta a sucessão o domínio e a posse da herança transmitem-se desde logo aos herdeiros (Código Civil, art. 1.572) e a capacidade para suceder é a do tempo da abertura da sucessão, que se regula conforme a lei então em vigor (Código Civil, art. 1.577). III - A impugnação da condição de herdeiro por interessado menor e pelo MP não preclui no prazo previsto no art. 1.000 do CPC, podendo ser exercida até a fase da partilha. O recurso cabível da decisão que exclui alguém da sucessão é o de agravo de instrumento porque não põe fim ao processo e dispõe sobre a legitimidade ou capacidade da parte para suceder". Inconformadas, as agravantes interpuseram recurso especial, alegando vulneração dos arts. 5º, LICC, 377 e 1.605, CC, 19, § 3º, da Lei n. 6.015/73, 2º da Lei n. 883/49, com a redação da Lei n. 6.515/77, e, 1.000 e 473, CPC, além de dissídio jurisprudencial. Da inadmissão do apelo na origem, manifestou-se o agravo. Sob o pálio da alínea a, não merece reforma o acórdão recorrido. A lei que rege a sucessão é aquela em vigor na data da sua abertura. Qualquer alteração introduzida por legislação superveniente a ela não se aplica. A propósito, sob a relatoria do Sr. Ministro BARROS MONTEIRO, no REsp n. 12.088/SC (DJ de 07.12.92), assim se ementou: "FILHO ADOTIVO. I - Pretendida aplicação do art. 227, § 6º, da CF, a sucessão já aberta antes da vigência da nova Carta. Inovação do art. 1.605, "caput", do Código Civil. É estranha ao recurso especial a discussão sobre tema de porte constitucional. II - Pelo art. 1.605, "caput", do Código Civil, atualmente revogado, o filho adotivo foi colocado tão-somente na classe dos descendentes sucessíveis, não tendo a preceituação o alcance pretendido pelas recorrentes. Recurso especial não conhecido". Quanto ao dissenso jurisprudencial não foram sequer colacionados arestos divergentes. Isto posto, desprovejo o agravo". - Afirmam as agravantes que não pretendem "aplicação de lei diversa da que regeu a sucessão do pai". Que o que realmente buscam é a correta interpretação da norma do art. 377 do Código Civil. Apegando-se à palavra filhos, no plural, constante do enunciado legal, sustentam que o adotado somente ficará excluído da sucessão do pai adotivo se, ao tempo da adoção, preexistiam dois ou mais filhos. Após assinalar que "na espécie vertente, o pai (adotante) (...) tinha apenas um filho ao adotá-las", advogam tese no sentido da inaplicabilidade de tal norma ao caso em exame. - É o relatório. DO VOTO - Não há como conferir-se ao art. 377, CC, a exegese pretendida pelas agravantes. - Com efeito, a teleologia da referida norma era inequívoca: visava ao resguardo dos direitos sucessórios da prole legítima, ilegítima ou reconhecida preexistente à adoção, pouco importando se composta tal prole de um só ou se de vários filhos. - Incensuráveis, a propósito, as consider ações lançadas no parecer do "Parquet" Federal, "verbis": "As agravantes sustentam que o texto, aludindo a filhos, no plural, teve por objeto excluir do seu alcance o filho, no singular. Esta exegese é insulada. O direito brasileiro, então vigente, cessando a norma proibitiva originariamente disposta no Código Civil, permitiu a adoção a quem tivesse descendência legítima ou ilegítima, sem importar que a prole se compusesse de um ou de número plural de filhos". - Em face do exposto, desprovejo o agravo. Ac. de 20-06-1995 DJ de 04-09-1995 (Reg. nº 95.0002342-3) JSTJ e TRF - Vol. 77 - Pág. 24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do art. 377 do Código Civil (não recepcionada pela atual ordem constitucional) visava ao resguardo dos direitos sucessórios da prole legítima, ilegítima ou reconhecida preexistente à adoção, pouco importando se composta tal prole de um só ou de vários filhos.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2026-10-26T01:56:43.053Z</dcterms:created>
  <dcterms:modified xsi:type="dcterms:W3CDTF">2026-10-26T01:56:43.053Z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