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ATAS DE ASSEMBLÉIAS E CONVENÇÕES</w:t>
      </w:r>
    </w:p>
    <w:p/>
    <w:p>
      <w:r>
        <w:rPr>
          <w:b/>
          <w:bCs/>
        </w:rPr>
        <w:t xml:space="preserve">Recurso: </w:t>
      </w:r>
      <w:r>
        <w:t xml:space="preserve">Ap. 101.703</w:t>
      </w:r>
    </w:p>
    <w:p/>
    <w:p>
      <w:r>
        <w:t xml:space="preserve">DATA DE EMISSÃO — REQUISITO ESSENCIAL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Acontece que o exame do título, que sustenta a execução, leva à conclusão da nulidade desta, por faltar aquele requisito essencial, que é a data de emissão. - É bem verdade que o apelante não cuidou de reiterar tal alegação na fase de recurso. No entanto, como decidido, no Ap. 101.703, por se tratar de requisito essencial à validade do título, pode a questão ser levantada de ofício. - E outro não é o entendimento da 3ª Câmara, manifestado nas Ap. 27.688 e 32.286. - Não há dúvida de que, como entende a corrente contrário, o portador pode preencher os claros existentes no título, inclusive a data de emissão, mas só poderá fazê-lo até o ajuizamento do processo executório; e até mesmo por determinação judicial, para emenda da peça vestibular. Não o fazendo, perde o título sua validade. Ac. de 17-06-1991 VENCIDO O JUIZ JOSÉ MARRARA Rev. dos Tribunais - Fevereiro de 1992 - Vol. 676 - Pág. 163 EMFOR 534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ausência de data de emissão, requisito essencial à nota promissória, implica nulidade da execução, que pode ser declarada de ofício.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2026-10-26T05:00:26.036Z</dcterms:created>
  <dcterms:modified xsi:type="dcterms:W3CDTF">2026-10-26T05:00:26.036Z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