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24/03/1983</w:t>
      </w:r>
    </w:p>
    <w:p/>
    <w:p>
      <w:r>
        <w:t xml:space="preserve">QUANDO INCIDE SOBRE O VALOR DO IMÓVEL À ÉPOCA DA ESCRITURA DEFINITIVA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se reveste de simplicidade, em face de já ter sido objeto de várias decisões deste Alto Pretório, tendo sido, por isso mesmo, consubstanciada a jurisprudência assente no verbete da Súmula nº 108 (*). - O recorrido,..., adquiriu imóvel..., tendo havido, primeiro, ajuste de promessa de compra e venda, conforme se observa da escritura definitiva que se encontra junta aos autos, vinda com a inicial. Entretanto, na oportunidade da escritura de promessa não efetuou o pagamento do imposto de transmissão inter vivos, somente vindo a fazê-lo quando da lavratura da referida escritura definitiva, o que se deu cerca de dois anos depois daquela outra. Efetuou o pagamento do aludido tributo, com base no valor do contrato de promessa e não da escritura de compra e venda, e pretende que a Prefeitura não lhe possa cobrar a diferença do imposto, considerando o valor do imóvel à época da compra e venda. O tributo deveria ser calculado sobre o valor do imóvel quando da promessa. - Se, quando do contrato preliminar tivesse o lmpetrante e ora recorrido efetuado o recolhimento do Imposto, diversa seria a situação a considerar. Mas se somente fez o pagamento do Imposto de transmissão quando da escritura de compra e venda, o valor do imóvel sobre o qual deve ser calculado dito ônus tributário é o dessa última ocasião. Nesse sentido é realmente o entendimento jurisprudêncial que veio a ser explicitado no verbete da Súmula nº 108 - STF. - Pelo exposto, conheço do recurso, pelo fundamento da letra "d" do permissivo constitucional, pois o arrimo na letra "a" é realmente insubsistente, como observou o r. despacho de inadmissão do extraordinário, e lhe dou provimento para cassar a segurança. - É o meu voto. (*) "É legitima a incidência do imposto de transmissão inter vivos sobre o valor do imóvel ao tempo da alienação, e não da promessa, na conformidade da legislação local." ("EMENTÁRIO FORENSE". Nº 193). Julgado em 25-03-1983 Revista Trimestral de Jurisprudência. Novembro, 1983 - Vol. 106 - Pág. 582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Jurisprudência que se reflete no enunciado da Súmula 108 (*) do Supremo Tribunal Federal. - Se o contribuinte, na oportunidade da realização do contrato de promessa de compra e venda, não liquidou, de logo, o imposto de transmissão, ao vir assinar a escritura definitiva, deve pagar o tributo de acordo com o valor do imóvel à época do contrato último, e não à base da importância já inteiramente ultrapassada, fixada no pacto preliminar.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2026-07-27T23:30:01.107Z</dcterms:created>
  <dcterms:modified xsi:type="dcterms:W3CDTF">2026-07-27T23:30:01.107Z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