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MS 13.947</w:t>
      </w:r>
    </w:p>
    <w:p>
      <w:r>
        <w:rPr>
          <w:b/>
          <w:bCs/>
        </w:rPr>
        <w:t xml:space="preserve">Julgado em: </w:t>
      </w:r>
      <w:r>
        <w:t xml:space="preserve">28/02/1983</w:t>
      </w:r>
    </w:p>
    <w:p/>
    <w:p>
      <w:r>
        <w:t xml:space="preserve">REVOGAÇÃO — PRINCÍPIO DA ANUALIDADE - SE A ELA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aplicação do princípio da anualidade dos tributos à eficácia de revogação de isenção sem encargos ofendeu o art. 184, III, do Código Tributário Nacional e divergiu do acórdão-paradigma transcrito na petição recursal. - Realmente, revogada que foi a isenção pelo Decreto nº 3.294, de 27-06-1980, com arrimo em convênio que os Estados realizaram na cidade de Salvador, em 13-06-1980, não havia por que submeter essa deliberação ao princípio constitucional da anualidade. - A revogação da isenção se fez nos termos estabelecidos pelo art. 23, § 6º, da Constituição Federal e do art. 1º da Lei Complementar nº 24/75. Por outro lado, o art. 184, III, do CTN, consoante o qual entram em vigor, no primeiro dia do exercício seguinte àquele em que ocorra a sua aplicação, os dispositivos referentes a impostos sobre o patrimônio ou a renda, que extingam ou reduzam isenções, não se aplica ao ICM, que é imposto sobre a produção e a circulação (Capítulo IV do Título III do Livro Primeiro do CTN). - Por igual, não favorece à recorrida o art. 153, § 29, da Constituição Federal, porquanto essa norma veda, simplesmente e, a exigência de tributos sem que a lei os estabeleça e sua cobrança em cada exercício sem que a lei que os houver instituído esteja em vigor antes do início do exercício financeiro. - Ora é incontroverso que existe lei estabelecendo o ICM com a devida antecedência. Sua eficácia se achava suspensa em conseqüência da isenção. Revogada esta, a lei retomou a sua exigibilidade integral. O contribuinte sabia que, em se tratando de isenção sem encargo, a todo o tempo o Estado poderia revogá-la . - Aliás, o acórdão do Supremo Tribunal Federal, indicado como paradigma, proferido no RMS nº 13.947, do qual foi Relator o eminente Ministro PRADO KELLY, deu à espécie exata solução, "verbis": "Na isenção o tributo é originariamente devido, mas fica dispensado o pagamento (...). Ora, se na isenção existe o tributo, a revogação do favor legal, como ocorre no presente caso, não cria imposto novo; limita-se a restaurar para o Fisco o direito, que existia antes da isenção de cobrar o tributo. Logo, essa revogação não cria tributo novo, não tem cabida o apelo ao disposto no § 34 do art. 141 da Constituição Federal que não veda, quer direta ou indiretamente, ao Fisco o direito de cobrar logo após a revogação, o tributo autorizado no orçamento e cuja exigibilidade se encontrava apenas suspensa em virtude da isenção." (...). - Ante o exposto, conheço do recurso extraordinário e dou-lhe provimento para restabelecer a sentença de primeiro grau. Julgado em 01-03-1983 Revista Trimestral de Jurisprudência. Outubro, 1983 - Vol. 106 - Pág. 428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à revogação da isenção do ICM o princípio constitucional da anualidade. - A revogação não cria tributo novo. - O fisco tem o direito de cobrar, logo após a revogação, o ICM autorizado no orçamento e previsto em lei anterior cuja exigibilidade se achava apenas suspensa pela isenção.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2026-07-28T04:01:28.062Z</dcterms:created>
  <dcterms:modified xsi:type="dcterms:W3CDTF">2026-07-28T04:01:28.062Z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