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88.956-6</w:t>
      </w:r>
    </w:p>
    <w:p>
      <w:r>
        <w:rPr>
          <w:b/>
          <w:bCs/>
        </w:rPr>
        <w:t xml:space="preserve">Julgado em: </w:t>
      </w:r>
      <w:r>
        <w:t xml:space="preserve">23/05/1983</w:t>
      </w:r>
    </w:p>
    <w:p/>
    <w:p>
      <w:r>
        <w:t xml:space="preserve">DENEGAÇÃO DO CRÉDITO FISCAL PELO ESTADO MEMBRO — QUANDO VULNERA 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jurisprudência da Corte se afina com os acórdãos do Tribunal de Justiça de São Paulo, indicados como paradigma na petição recursal. Verifica-se, de resto, do mais recente dos precedentes mencionados no parecer (RE nº 88.956-6 - SP) que, como aconteceu com essa irresignação, o presente recurso merece conhecido e provido, porquanto, como ali se salientou. "Também em casos semelhantes entendeu o Pretório Excelso que o "quantum" da isenção ou restituição do ICM, concedida pelo Estado de origem do produto, a título de incentivo, não pode locupletar o Estado de destino, mercê de denegação do crédito fiscal por parte deste (RE nº 76.945 - SP, rel. Min. OSWALDO TRIGUEIRO, em 29-03-1974; RE nº 77.093 - RS, relator Min. ALIOMAR BALEEIRO, 1ª T., em 04-06-1974; RE nº 86.217 - CE, rel.: Min. CUNHA PEIXOTO, 1ª T., em 08-03-1977)" (...). - Realmente, a denegação do crédito fiscal no caso de isenção do ICM, integral ou parcial, relativamente à operação anterior, importa tornar ineficaz a regalia, uma vez que o tributo incidirá, por inteiro, sobre a operação subseqüente, com ofensa ao princípio constitucional de não cumulatividade (art. 23, II da CF) (AgRg nº 82.674-2 - SP). - Ante o exposto e pelos fundamentos do despacho, conheço do recurso extraordinário e dou-lhe provimento para julgar procedente a ação, invertidos os ônus da sucumbência. Julgado em 24-05-1983 Revista Trimestral de Jurisprudência. Outubro, 1983 - Vol. 106 - Pág. 311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denegação do crédito fiscal pelo Estado-membro, destinatário da mercadoria, relativamente à isenção parcial do ICM concedida pelo Estado de origem do produto, importa tornar ineficaz a regalia, uma vez que o tributo incidirá, por inteiro, sobre a operação subseqüente, com vulneração do princípio constitucional da não cumulatividade (art. 23, II, CF).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2026-07-28T00:45:14.034Z</dcterms:created>
  <dcterms:modified xsi:type="dcterms:W3CDTF">2026-07-28T00:45:14.034Z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